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CA8" w:rsidRDefault="003B6CA8" w:rsidP="003B6CA8">
      <w:pPr>
        <w:spacing w:after="0" w:line="240" w:lineRule="auto"/>
        <w:jc w:val="center"/>
        <w:rPr>
          <w:rFonts w:ascii="Arial" w:hAnsi="Arial" w:cs="Arial"/>
          <w:b/>
        </w:rPr>
      </w:pPr>
    </w:p>
    <w:p w:rsidR="003B6CA8" w:rsidRDefault="00842CF9" w:rsidP="003B6CA8">
      <w:pPr>
        <w:spacing w:after="0" w:line="240" w:lineRule="auto"/>
        <w:jc w:val="center"/>
        <w:rPr>
          <w:rFonts w:ascii="Arial" w:hAnsi="Arial" w:cs="Arial"/>
          <w:b/>
        </w:rPr>
      </w:pPr>
      <w:r>
        <w:rPr>
          <w:rFonts w:eastAsia="Times New Roman"/>
          <w:noProof/>
          <w:lang w:eastAsia="en-GB"/>
        </w:rPr>
        <w:drawing>
          <wp:inline distT="0" distB="0" distL="0" distR="0" wp14:anchorId="185BC060" wp14:editId="12EFF407">
            <wp:extent cx="638133" cy="759319"/>
            <wp:effectExtent l="0" t="0" r="0" b="3175"/>
            <wp:docPr id="2" name="Picture 2" descr="cid:F167E4B9-8704-45B2-9496-FCCDEC04A3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4d1fbc9-b472-4599-9925-7b2d64e57712" descr="cid:F167E4B9-8704-45B2-9496-FCCDEC04A3B4"/>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672234" cy="799896"/>
                    </a:xfrm>
                    <a:prstGeom prst="rect">
                      <a:avLst/>
                    </a:prstGeom>
                    <a:noFill/>
                    <a:ln>
                      <a:noFill/>
                    </a:ln>
                  </pic:spPr>
                </pic:pic>
              </a:graphicData>
            </a:graphic>
          </wp:inline>
        </w:drawing>
      </w:r>
    </w:p>
    <w:p w:rsidR="003B6CA8" w:rsidRDefault="003B6CA8" w:rsidP="003B6CA8">
      <w:pPr>
        <w:spacing w:after="0" w:line="240" w:lineRule="auto"/>
        <w:jc w:val="center"/>
        <w:rPr>
          <w:rFonts w:ascii="Arial" w:hAnsi="Arial" w:cs="Arial"/>
          <w:b/>
        </w:rPr>
      </w:pPr>
    </w:p>
    <w:p w:rsidR="003B6CA8" w:rsidRDefault="003B6CA8" w:rsidP="003B6CA8">
      <w:pPr>
        <w:spacing w:after="0" w:line="240" w:lineRule="auto"/>
        <w:jc w:val="center"/>
        <w:rPr>
          <w:rFonts w:ascii="Arial" w:hAnsi="Arial" w:cs="Arial"/>
          <w:b/>
        </w:rPr>
      </w:pPr>
    </w:p>
    <w:p w:rsidR="003B6CA8" w:rsidRDefault="003B6CA8" w:rsidP="003B6CA8">
      <w:pPr>
        <w:spacing w:after="0" w:line="240" w:lineRule="auto"/>
        <w:jc w:val="center"/>
        <w:rPr>
          <w:rFonts w:ascii="Arial" w:hAnsi="Arial" w:cs="Arial"/>
          <w:b/>
        </w:rPr>
      </w:pPr>
    </w:p>
    <w:p w:rsidR="00842CF9" w:rsidRDefault="003B6CA8" w:rsidP="003B6CA8">
      <w:pPr>
        <w:spacing w:after="0" w:line="240" w:lineRule="auto"/>
        <w:jc w:val="center"/>
        <w:rPr>
          <w:rFonts w:ascii="Arial" w:hAnsi="Arial" w:cs="Arial"/>
          <w:b/>
        </w:rPr>
      </w:pPr>
      <w:r>
        <w:rPr>
          <w:rFonts w:ascii="Arial" w:hAnsi="Arial" w:cs="Arial"/>
          <w:b/>
        </w:rPr>
        <w:t>A fulltime</w:t>
      </w:r>
      <w:r w:rsidR="00C319DD">
        <w:rPr>
          <w:rFonts w:ascii="Arial" w:hAnsi="Arial" w:cs="Arial"/>
          <w:b/>
        </w:rPr>
        <w:t xml:space="preserve"> </w:t>
      </w:r>
      <w:r w:rsidR="00842CF9">
        <w:rPr>
          <w:rFonts w:ascii="Arial" w:hAnsi="Arial" w:cs="Arial"/>
          <w:b/>
        </w:rPr>
        <w:t xml:space="preserve">permanent </w:t>
      </w:r>
      <w:r>
        <w:rPr>
          <w:rFonts w:ascii="Arial" w:hAnsi="Arial" w:cs="Arial"/>
          <w:b/>
        </w:rPr>
        <w:t xml:space="preserve">position has </w:t>
      </w:r>
      <w:r w:rsidR="00CC1FF0">
        <w:rPr>
          <w:rFonts w:ascii="Arial" w:hAnsi="Arial" w:cs="Arial"/>
          <w:b/>
        </w:rPr>
        <w:t>be</w:t>
      </w:r>
      <w:r>
        <w:rPr>
          <w:rFonts w:ascii="Arial" w:hAnsi="Arial" w:cs="Arial"/>
          <w:b/>
        </w:rPr>
        <w:t xml:space="preserve">come available for a </w:t>
      </w:r>
    </w:p>
    <w:p w:rsidR="00842CF9" w:rsidRDefault="00842CF9" w:rsidP="003B6CA8">
      <w:pPr>
        <w:spacing w:after="0" w:line="240" w:lineRule="auto"/>
        <w:jc w:val="center"/>
        <w:rPr>
          <w:rFonts w:ascii="Arial" w:hAnsi="Arial" w:cs="Arial"/>
          <w:b/>
        </w:rPr>
      </w:pPr>
      <w:r>
        <w:rPr>
          <w:rFonts w:ascii="Arial" w:hAnsi="Arial" w:cs="Arial"/>
          <w:b/>
        </w:rPr>
        <w:t xml:space="preserve">Higher Level </w:t>
      </w:r>
      <w:r w:rsidR="003B6CA8">
        <w:rPr>
          <w:rFonts w:ascii="Arial" w:hAnsi="Arial" w:cs="Arial"/>
          <w:b/>
        </w:rPr>
        <w:t>Teaching Assistant</w:t>
      </w:r>
    </w:p>
    <w:p w:rsidR="00CC1FF0" w:rsidRDefault="003B6CA8" w:rsidP="003B6CA8">
      <w:pPr>
        <w:spacing w:after="0" w:line="240" w:lineRule="auto"/>
        <w:jc w:val="center"/>
        <w:rPr>
          <w:rFonts w:ascii="Arial" w:hAnsi="Arial" w:cs="Arial"/>
          <w:b/>
        </w:rPr>
      </w:pPr>
      <w:r>
        <w:rPr>
          <w:rFonts w:ascii="Arial" w:hAnsi="Arial" w:cs="Arial"/>
          <w:b/>
        </w:rPr>
        <w:t xml:space="preserve"> </w:t>
      </w:r>
    </w:p>
    <w:p w:rsidR="003B6CA8" w:rsidRDefault="003B6CA8" w:rsidP="003B6CA8">
      <w:pPr>
        <w:spacing w:after="0" w:line="240" w:lineRule="auto"/>
        <w:jc w:val="center"/>
        <w:rPr>
          <w:rFonts w:ascii="Arial" w:hAnsi="Arial" w:cs="Arial"/>
          <w:b/>
        </w:rPr>
      </w:pPr>
      <w:r>
        <w:rPr>
          <w:rFonts w:ascii="Arial" w:hAnsi="Arial" w:cs="Arial"/>
          <w:b/>
        </w:rPr>
        <w:t xml:space="preserve">The position will be to work </w:t>
      </w:r>
      <w:r w:rsidR="00BA1B70">
        <w:rPr>
          <w:rFonts w:ascii="Arial" w:hAnsi="Arial" w:cs="Arial"/>
          <w:b/>
        </w:rPr>
        <w:t>in KS2 at The Oak Tree Primary Academy who are part of the Norther</w:t>
      </w:r>
      <w:r w:rsidR="000462F2">
        <w:rPr>
          <w:rFonts w:ascii="Arial" w:hAnsi="Arial" w:cs="Arial"/>
          <w:b/>
        </w:rPr>
        <w:t>n</w:t>
      </w:r>
      <w:r w:rsidR="00BA1B70">
        <w:rPr>
          <w:rFonts w:ascii="Arial" w:hAnsi="Arial" w:cs="Arial"/>
          <w:b/>
        </w:rPr>
        <w:t xml:space="preserve"> Education Trust. </w:t>
      </w:r>
    </w:p>
    <w:p w:rsidR="003B6CA8" w:rsidRDefault="003B6CA8" w:rsidP="003B6CA8">
      <w:pPr>
        <w:spacing w:after="0" w:line="240" w:lineRule="auto"/>
        <w:jc w:val="center"/>
        <w:rPr>
          <w:rFonts w:ascii="Arial" w:hAnsi="Arial" w:cs="Arial"/>
          <w:b/>
        </w:rPr>
      </w:pPr>
    </w:p>
    <w:p w:rsidR="00BA1B70" w:rsidRDefault="003B6CA8" w:rsidP="003B6CA8">
      <w:pPr>
        <w:spacing w:after="0" w:line="240" w:lineRule="auto"/>
        <w:rPr>
          <w:rFonts w:ascii="Arial" w:hAnsi="Arial" w:cs="Arial"/>
          <w:b/>
        </w:rPr>
      </w:pPr>
      <w:r>
        <w:rPr>
          <w:rFonts w:ascii="Arial" w:hAnsi="Arial" w:cs="Arial"/>
          <w:b/>
        </w:rPr>
        <w:t>If you are interested in the above position</w:t>
      </w:r>
      <w:r w:rsidR="00BA1B70">
        <w:rPr>
          <w:rFonts w:ascii="Arial" w:hAnsi="Arial" w:cs="Arial"/>
          <w:b/>
        </w:rPr>
        <w:t>,</w:t>
      </w:r>
      <w:r>
        <w:rPr>
          <w:rFonts w:ascii="Arial" w:hAnsi="Arial" w:cs="Arial"/>
          <w:b/>
        </w:rPr>
        <w:t xml:space="preserve"> please send a letter of</w:t>
      </w:r>
      <w:r w:rsidR="00CC1FF0">
        <w:rPr>
          <w:rFonts w:ascii="Arial" w:hAnsi="Arial" w:cs="Arial"/>
          <w:b/>
        </w:rPr>
        <w:t xml:space="preserve"> suitability using the criteria</w:t>
      </w:r>
      <w:r>
        <w:rPr>
          <w:rFonts w:ascii="Arial" w:hAnsi="Arial" w:cs="Arial"/>
          <w:b/>
        </w:rPr>
        <w:t xml:space="preserve"> below</w:t>
      </w:r>
      <w:r w:rsidR="006C14D0">
        <w:rPr>
          <w:rFonts w:ascii="Arial" w:hAnsi="Arial" w:cs="Arial"/>
          <w:b/>
        </w:rPr>
        <w:t xml:space="preserve"> and your application form</w:t>
      </w:r>
      <w:r w:rsidR="00BA1B70">
        <w:rPr>
          <w:rFonts w:ascii="Arial" w:hAnsi="Arial" w:cs="Arial"/>
          <w:b/>
        </w:rPr>
        <w:t xml:space="preserve"> to Jean McCartney at OTJean.McCartney@sbscschools.org.uk</w:t>
      </w:r>
    </w:p>
    <w:p w:rsidR="003B6CA8" w:rsidRDefault="003B6CA8" w:rsidP="003B6CA8">
      <w:pPr>
        <w:spacing w:after="0" w:line="240" w:lineRule="auto"/>
        <w:rPr>
          <w:rFonts w:ascii="Arial" w:hAnsi="Arial" w:cs="Arial"/>
          <w:b/>
        </w:rPr>
      </w:pPr>
    </w:p>
    <w:p w:rsidR="003B6CA8" w:rsidRDefault="003B6CA8" w:rsidP="003B6CA8">
      <w:pPr>
        <w:spacing w:after="0" w:line="240" w:lineRule="auto"/>
        <w:rPr>
          <w:rFonts w:ascii="Arial" w:hAnsi="Arial" w:cs="Arial"/>
          <w:b/>
        </w:rPr>
      </w:pPr>
      <w:r>
        <w:rPr>
          <w:rFonts w:ascii="Arial" w:hAnsi="Arial" w:cs="Arial"/>
          <w:b/>
        </w:rPr>
        <w:t>Closing date:</w:t>
      </w:r>
      <w:r w:rsidR="00842CF9">
        <w:rPr>
          <w:rFonts w:ascii="Arial" w:hAnsi="Arial" w:cs="Arial"/>
          <w:b/>
        </w:rPr>
        <w:t xml:space="preserve"> December 9</w:t>
      </w:r>
      <w:r w:rsidR="00842CF9" w:rsidRPr="00842CF9">
        <w:rPr>
          <w:rFonts w:ascii="Arial" w:hAnsi="Arial" w:cs="Arial"/>
          <w:b/>
          <w:vertAlign w:val="superscript"/>
        </w:rPr>
        <w:t>th</w:t>
      </w:r>
      <w:r w:rsidR="00BA1B70">
        <w:rPr>
          <w:rFonts w:ascii="Arial" w:hAnsi="Arial" w:cs="Arial"/>
          <w:b/>
        </w:rPr>
        <w:t xml:space="preserve"> 12 noon </w:t>
      </w:r>
    </w:p>
    <w:p w:rsidR="003B6CA8" w:rsidRDefault="003B6CA8" w:rsidP="003B6CA8">
      <w:pPr>
        <w:spacing w:after="0" w:line="240" w:lineRule="auto"/>
        <w:rPr>
          <w:rFonts w:ascii="Arial" w:hAnsi="Arial" w:cs="Arial"/>
          <w:b/>
        </w:rPr>
      </w:pPr>
      <w:r>
        <w:rPr>
          <w:rFonts w:ascii="Arial" w:hAnsi="Arial" w:cs="Arial"/>
          <w:b/>
        </w:rPr>
        <w:t xml:space="preserve">Interview: </w:t>
      </w:r>
      <w:r w:rsidR="00842CF9">
        <w:rPr>
          <w:rFonts w:ascii="Arial" w:hAnsi="Arial" w:cs="Arial"/>
          <w:b/>
        </w:rPr>
        <w:t>Tuesday 13</w:t>
      </w:r>
      <w:r w:rsidR="00842CF9" w:rsidRPr="00842CF9">
        <w:rPr>
          <w:rFonts w:ascii="Arial" w:hAnsi="Arial" w:cs="Arial"/>
          <w:b/>
          <w:vertAlign w:val="superscript"/>
        </w:rPr>
        <w:t>th</w:t>
      </w:r>
      <w:r w:rsidR="00842CF9">
        <w:rPr>
          <w:rFonts w:ascii="Arial" w:hAnsi="Arial" w:cs="Arial"/>
          <w:b/>
        </w:rPr>
        <w:t xml:space="preserve"> December</w:t>
      </w:r>
    </w:p>
    <w:p w:rsidR="003B6CA8" w:rsidRDefault="003B6CA8" w:rsidP="003B6CA8">
      <w:pPr>
        <w:spacing w:after="0" w:line="240" w:lineRule="auto"/>
        <w:rPr>
          <w:rFonts w:ascii="Arial" w:hAnsi="Arial" w:cs="Arial"/>
          <w:b/>
        </w:rPr>
      </w:pPr>
    </w:p>
    <w:p w:rsidR="003B6CA8" w:rsidRDefault="00BA1B70" w:rsidP="003B6CA8">
      <w:pPr>
        <w:spacing w:after="0" w:line="240" w:lineRule="auto"/>
        <w:rPr>
          <w:rFonts w:ascii="Arial" w:hAnsi="Arial" w:cs="Arial"/>
          <w:b/>
        </w:rPr>
      </w:pPr>
      <w:r>
        <w:rPr>
          <w:rFonts w:ascii="Arial" w:hAnsi="Arial" w:cs="Arial"/>
          <w:b/>
        </w:rPr>
        <w:t xml:space="preserve">We are committed to safeguarding and this position is subject to enhanced DBS checks. </w:t>
      </w:r>
    </w:p>
    <w:p w:rsidR="00BA1B70" w:rsidRDefault="00BA1B70" w:rsidP="003B6CA8">
      <w:pPr>
        <w:spacing w:after="0" w:line="240" w:lineRule="auto"/>
        <w:rPr>
          <w:rFonts w:ascii="Arial" w:hAnsi="Arial" w:cs="Arial"/>
          <w:b/>
        </w:rPr>
      </w:pPr>
    </w:p>
    <w:p w:rsidR="00BA1B70" w:rsidRDefault="00BA1B70" w:rsidP="003B6CA8">
      <w:pPr>
        <w:spacing w:after="0" w:line="240" w:lineRule="auto"/>
        <w:rPr>
          <w:rFonts w:ascii="Arial" w:hAnsi="Arial" w:cs="Arial"/>
          <w:b/>
        </w:rPr>
      </w:pPr>
      <w:r>
        <w:rPr>
          <w:rFonts w:ascii="Arial" w:hAnsi="Arial" w:cs="Arial"/>
          <w:b/>
        </w:rPr>
        <w:t xml:space="preserve">Our One Academy rule is: </w:t>
      </w:r>
    </w:p>
    <w:p w:rsidR="00BA1B70" w:rsidRDefault="00BA1B70" w:rsidP="003B6CA8">
      <w:pPr>
        <w:spacing w:after="0" w:line="240" w:lineRule="auto"/>
        <w:rPr>
          <w:rFonts w:ascii="Arial" w:hAnsi="Arial" w:cs="Arial"/>
          <w:b/>
        </w:rPr>
      </w:pPr>
      <w:r>
        <w:rPr>
          <w:rStyle w:val="Strong"/>
          <w:rFonts w:ascii="Helvetica" w:hAnsi="Helvetica" w:cs="Helvetica"/>
          <w:color w:val="202020"/>
        </w:rPr>
        <w:t>"All pupils and adults are expected to behave in a responsible manner, both to themselves and others, showing consideration, courtesy and respect at all times."</w:t>
      </w:r>
    </w:p>
    <w:p w:rsidR="003B6CA8" w:rsidRDefault="003B6CA8">
      <w:bookmarkStart w:id="0" w:name="_GoBack"/>
      <w:bookmarkEnd w:id="0"/>
    </w:p>
    <w:tbl>
      <w:tblPr>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63"/>
      </w:tblGrid>
      <w:tr w:rsidR="003B6CA8" w:rsidRPr="00204077" w:rsidTr="00B738CB">
        <w:tc>
          <w:tcPr>
            <w:tcW w:w="10763" w:type="dxa"/>
            <w:shd w:val="clear" w:color="auto" w:fill="BFBFBF"/>
            <w:vAlign w:val="center"/>
          </w:tcPr>
          <w:p w:rsidR="003B6CA8" w:rsidRPr="00204077" w:rsidRDefault="003B6CA8" w:rsidP="00B738CB">
            <w:pPr>
              <w:spacing w:after="0" w:line="240" w:lineRule="auto"/>
              <w:rPr>
                <w:rFonts w:ascii="Arial" w:hAnsi="Arial" w:cs="Arial"/>
                <w:b/>
                <w:bCs/>
                <w:lang w:val="en-US"/>
              </w:rPr>
            </w:pPr>
            <w:r w:rsidRPr="00204077">
              <w:rPr>
                <w:rFonts w:ascii="Arial" w:hAnsi="Arial" w:cs="Arial"/>
                <w:b/>
                <w:bCs/>
                <w:lang w:val="en-US"/>
              </w:rPr>
              <w:t>1. PROFESSIONAL VAL</w:t>
            </w:r>
            <w:r w:rsidR="000462F2">
              <w:rPr>
                <w:rFonts w:ascii="Arial" w:hAnsi="Arial" w:cs="Arial"/>
                <w:b/>
                <w:bCs/>
                <w:lang w:val="en-US"/>
              </w:rPr>
              <w:t>U</w:t>
            </w:r>
            <w:r w:rsidRPr="00204077">
              <w:rPr>
                <w:rFonts w:ascii="Arial" w:hAnsi="Arial" w:cs="Arial"/>
                <w:b/>
                <w:bCs/>
                <w:lang w:val="en-US"/>
              </w:rPr>
              <w:t>ES &amp; PRACTICE</w:t>
            </w:r>
          </w:p>
        </w:tc>
      </w:tr>
      <w:tr w:rsidR="003B6CA8" w:rsidRPr="00204077" w:rsidTr="00B738CB">
        <w:tc>
          <w:tcPr>
            <w:tcW w:w="10763" w:type="dxa"/>
            <w:vAlign w:val="center"/>
          </w:tcPr>
          <w:p w:rsidR="003B6CA8" w:rsidRPr="00204077" w:rsidRDefault="003B6CA8" w:rsidP="00B738CB">
            <w:pPr>
              <w:spacing w:after="0" w:line="240" w:lineRule="auto"/>
              <w:rPr>
                <w:rFonts w:ascii="Arial" w:hAnsi="Arial" w:cs="Arial"/>
              </w:rPr>
            </w:pPr>
            <w:r w:rsidRPr="00204077">
              <w:rPr>
                <w:rFonts w:ascii="Arial" w:hAnsi="Arial" w:cs="Arial"/>
                <w:lang w:val="en-US"/>
              </w:rPr>
              <w:t>a. They have high expectations of all students; respect their social, cultural, linguistic, religious and ethnic backgrounds; and are committed to raising their educational achievement.</w:t>
            </w:r>
          </w:p>
        </w:tc>
      </w:tr>
      <w:tr w:rsidR="003B6CA8" w:rsidRPr="00204077" w:rsidTr="00B738CB">
        <w:tc>
          <w:tcPr>
            <w:tcW w:w="10763" w:type="dxa"/>
            <w:tcBorders>
              <w:bottom w:val="single" w:sz="4" w:space="0" w:color="000000"/>
            </w:tcBorders>
            <w:vAlign w:val="center"/>
          </w:tcPr>
          <w:p w:rsidR="003B6CA8" w:rsidRPr="00204077" w:rsidRDefault="003B6CA8" w:rsidP="00B738CB">
            <w:pPr>
              <w:spacing w:after="0" w:line="240" w:lineRule="auto"/>
              <w:rPr>
                <w:rFonts w:ascii="Arial" w:hAnsi="Arial" w:cs="Arial"/>
                <w:b/>
              </w:rPr>
            </w:pPr>
            <w:r w:rsidRPr="00204077">
              <w:rPr>
                <w:rFonts w:ascii="Arial" w:hAnsi="Arial" w:cs="Arial"/>
                <w:lang w:val="en-US"/>
              </w:rPr>
              <w:t>b. They build and maintain successful relationships with students, treat them consistently, with respect and consideration, and are concerned for their development as learners.</w:t>
            </w:r>
          </w:p>
        </w:tc>
      </w:tr>
      <w:tr w:rsidR="003B6CA8" w:rsidRPr="00204077" w:rsidTr="00B738CB">
        <w:tc>
          <w:tcPr>
            <w:tcW w:w="10763" w:type="dxa"/>
            <w:tcBorders>
              <w:bottom w:val="single" w:sz="4" w:space="0" w:color="000000"/>
            </w:tcBorders>
            <w:vAlign w:val="center"/>
          </w:tcPr>
          <w:p w:rsidR="003B6CA8" w:rsidRPr="00204077" w:rsidRDefault="003B6CA8" w:rsidP="00B738CB">
            <w:pPr>
              <w:spacing w:after="0" w:line="240" w:lineRule="auto"/>
              <w:rPr>
                <w:rFonts w:ascii="Arial" w:hAnsi="Arial" w:cs="Arial"/>
              </w:rPr>
            </w:pPr>
            <w:r w:rsidRPr="00204077">
              <w:rPr>
                <w:rFonts w:ascii="Arial" w:hAnsi="Arial" w:cs="Arial"/>
                <w:lang w:val="en-US"/>
              </w:rPr>
              <w:t xml:space="preserve">c. They demonstrate and promote the positive values, attitudes and </w:t>
            </w:r>
            <w:proofErr w:type="spellStart"/>
            <w:r w:rsidRPr="00204077">
              <w:rPr>
                <w:rFonts w:ascii="Arial" w:hAnsi="Arial" w:cs="Arial"/>
                <w:lang w:val="en-US"/>
              </w:rPr>
              <w:t>behaviour</w:t>
            </w:r>
            <w:proofErr w:type="spellEnd"/>
            <w:r w:rsidRPr="00204077">
              <w:rPr>
                <w:rFonts w:ascii="Arial" w:hAnsi="Arial" w:cs="Arial"/>
                <w:lang w:val="en-US"/>
              </w:rPr>
              <w:t xml:space="preserve"> they expect from the students with whom they work.</w:t>
            </w:r>
          </w:p>
        </w:tc>
      </w:tr>
      <w:tr w:rsidR="003B6CA8" w:rsidRPr="00204077" w:rsidTr="00B738CB">
        <w:tc>
          <w:tcPr>
            <w:tcW w:w="10763" w:type="dxa"/>
            <w:tcBorders>
              <w:bottom w:val="single" w:sz="4" w:space="0" w:color="000000"/>
            </w:tcBorders>
            <w:vAlign w:val="center"/>
          </w:tcPr>
          <w:p w:rsidR="003B6CA8" w:rsidRPr="00204077" w:rsidRDefault="003B6CA8" w:rsidP="00B738CB">
            <w:pPr>
              <w:spacing w:after="0" w:line="240" w:lineRule="auto"/>
              <w:rPr>
                <w:rFonts w:ascii="Arial" w:hAnsi="Arial" w:cs="Arial"/>
              </w:rPr>
            </w:pPr>
            <w:r w:rsidRPr="00204077">
              <w:rPr>
                <w:rFonts w:ascii="Arial" w:hAnsi="Arial" w:cs="Arial"/>
                <w:lang w:val="en-US"/>
              </w:rPr>
              <w:t>d. They work collaboratively with colleagues, and carry out their roles effectively, knowing when to seek help and advice.</w:t>
            </w:r>
          </w:p>
        </w:tc>
      </w:tr>
      <w:tr w:rsidR="003B6CA8" w:rsidRPr="00204077" w:rsidTr="00B738CB">
        <w:tc>
          <w:tcPr>
            <w:tcW w:w="10763" w:type="dxa"/>
            <w:tcBorders>
              <w:bottom w:val="single" w:sz="4" w:space="0" w:color="000000"/>
            </w:tcBorders>
            <w:vAlign w:val="center"/>
          </w:tcPr>
          <w:p w:rsidR="003B6CA8" w:rsidRPr="00204077" w:rsidRDefault="003B6CA8" w:rsidP="00B738CB">
            <w:pPr>
              <w:spacing w:after="0" w:line="240" w:lineRule="auto"/>
              <w:rPr>
                <w:rFonts w:ascii="Arial" w:hAnsi="Arial" w:cs="Arial"/>
              </w:rPr>
            </w:pPr>
            <w:r w:rsidRPr="00204077">
              <w:rPr>
                <w:rFonts w:ascii="Arial" w:hAnsi="Arial" w:cs="Arial"/>
                <w:lang w:val="en-US"/>
              </w:rPr>
              <w:t xml:space="preserve">e. They are able to liaise sensitively and effectively with parents and </w:t>
            </w:r>
            <w:proofErr w:type="spellStart"/>
            <w:r w:rsidRPr="00204077">
              <w:rPr>
                <w:rFonts w:ascii="Arial" w:hAnsi="Arial" w:cs="Arial"/>
                <w:lang w:val="en-US"/>
              </w:rPr>
              <w:t>carers</w:t>
            </w:r>
            <w:proofErr w:type="spellEnd"/>
            <w:r w:rsidRPr="00204077">
              <w:rPr>
                <w:rFonts w:ascii="Arial" w:hAnsi="Arial" w:cs="Arial"/>
                <w:lang w:val="en-US"/>
              </w:rPr>
              <w:t xml:space="preserve">, </w:t>
            </w:r>
            <w:proofErr w:type="spellStart"/>
            <w:r w:rsidRPr="00204077">
              <w:rPr>
                <w:rFonts w:ascii="Arial" w:hAnsi="Arial" w:cs="Arial"/>
                <w:lang w:val="en-US"/>
              </w:rPr>
              <w:t>recognising</w:t>
            </w:r>
            <w:proofErr w:type="spellEnd"/>
            <w:r w:rsidRPr="00204077">
              <w:rPr>
                <w:rFonts w:ascii="Arial" w:hAnsi="Arial" w:cs="Arial"/>
                <w:lang w:val="en-US"/>
              </w:rPr>
              <w:t xml:space="preserve"> their roles in students’ learning.</w:t>
            </w:r>
          </w:p>
        </w:tc>
      </w:tr>
      <w:tr w:rsidR="003B6CA8" w:rsidRPr="00204077" w:rsidTr="00B738CB">
        <w:tc>
          <w:tcPr>
            <w:tcW w:w="10763" w:type="dxa"/>
            <w:tcBorders>
              <w:bottom w:val="single" w:sz="4" w:space="0" w:color="000000"/>
            </w:tcBorders>
            <w:vAlign w:val="center"/>
          </w:tcPr>
          <w:p w:rsidR="003B6CA8" w:rsidRPr="00204077" w:rsidRDefault="003B6CA8" w:rsidP="00B738CB">
            <w:pPr>
              <w:spacing w:after="0" w:line="240" w:lineRule="auto"/>
              <w:rPr>
                <w:rFonts w:ascii="Arial" w:hAnsi="Arial" w:cs="Arial"/>
              </w:rPr>
            </w:pPr>
            <w:r w:rsidRPr="00204077">
              <w:rPr>
                <w:rFonts w:ascii="Arial" w:hAnsi="Arial" w:cs="Arial"/>
                <w:lang w:val="en-US"/>
              </w:rPr>
              <w:t>f. They are able to improve their own practice, including through observation, evaluation and discussion with colleagues.</w:t>
            </w:r>
          </w:p>
        </w:tc>
      </w:tr>
      <w:tr w:rsidR="003B6CA8" w:rsidRPr="00204077" w:rsidTr="00B738CB">
        <w:tc>
          <w:tcPr>
            <w:tcW w:w="10763" w:type="dxa"/>
            <w:shd w:val="clear" w:color="auto" w:fill="BFBFBF"/>
            <w:vAlign w:val="center"/>
          </w:tcPr>
          <w:p w:rsidR="003B6CA8" w:rsidRPr="00204077" w:rsidRDefault="003B6CA8" w:rsidP="00B738CB">
            <w:pPr>
              <w:spacing w:after="0" w:line="240" w:lineRule="auto"/>
              <w:rPr>
                <w:rFonts w:ascii="Arial" w:hAnsi="Arial" w:cs="Arial"/>
                <w:b/>
                <w:bCs/>
                <w:lang w:val="en-US"/>
              </w:rPr>
            </w:pPr>
            <w:r w:rsidRPr="00204077">
              <w:rPr>
                <w:rFonts w:ascii="Arial" w:hAnsi="Arial" w:cs="Arial"/>
                <w:b/>
                <w:bCs/>
                <w:lang w:val="en-US"/>
              </w:rPr>
              <w:t>2. KNOWLEDGE &amp; UNDERSTANDING</w:t>
            </w:r>
          </w:p>
        </w:tc>
      </w:tr>
      <w:tr w:rsidR="003B6CA8" w:rsidRPr="00204077" w:rsidTr="00B738CB">
        <w:tc>
          <w:tcPr>
            <w:tcW w:w="10763" w:type="dxa"/>
            <w:vAlign w:val="center"/>
          </w:tcPr>
          <w:p w:rsidR="003B6CA8" w:rsidRPr="00204077" w:rsidRDefault="003B6CA8" w:rsidP="00B738CB">
            <w:pPr>
              <w:spacing w:after="0" w:line="240" w:lineRule="auto"/>
              <w:rPr>
                <w:rFonts w:ascii="Arial" w:hAnsi="Arial" w:cs="Arial"/>
              </w:rPr>
            </w:pPr>
            <w:r w:rsidRPr="00204077">
              <w:rPr>
                <w:rFonts w:ascii="Arial" w:hAnsi="Arial" w:cs="Arial"/>
                <w:lang w:val="en-US"/>
              </w:rPr>
              <w:t>a. They have sufficient understanding of their specialist area to support students’ learning, and are able to acquire further knowledge to contribute effectively and with confidence to the classes in which they are involved.</w:t>
            </w:r>
          </w:p>
        </w:tc>
      </w:tr>
      <w:tr w:rsidR="003B6CA8" w:rsidRPr="00204077" w:rsidTr="00B738CB">
        <w:tc>
          <w:tcPr>
            <w:tcW w:w="10763" w:type="dxa"/>
            <w:vAlign w:val="center"/>
          </w:tcPr>
          <w:p w:rsidR="003B6CA8" w:rsidRPr="00204077" w:rsidRDefault="003B6CA8" w:rsidP="00B738CB">
            <w:pPr>
              <w:spacing w:after="0" w:line="240" w:lineRule="auto"/>
              <w:rPr>
                <w:rFonts w:ascii="Arial" w:hAnsi="Arial" w:cs="Arial"/>
              </w:rPr>
            </w:pPr>
            <w:r w:rsidRPr="00204077">
              <w:rPr>
                <w:rFonts w:ascii="Arial" w:hAnsi="Arial" w:cs="Arial"/>
                <w:lang w:val="en-US"/>
              </w:rPr>
              <w:t>b. They are familiar with the Academy curriculum, the age-related expectations of students, the main teaching methods and the testing/examination frameworks in the subjects and age ranges in which they are involved.</w:t>
            </w:r>
          </w:p>
        </w:tc>
      </w:tr>
      <w:tr w:rsidR="003B6CA8" w:rsidRPr="00204077" w:rsidTr="00B738CB">
        <w:tc>
          <w:tcPr>
            <w:tcW w:w="10763" w:type="dxa"/>
            <w:vAlign w:val="center"/>
          </w:tcPr>
          <w:p w:rsidR="003B6CA8" w:rsidRPr="00204077" w:rsidRDefault="003B6CA8" w:rsidP="00B738CB">
            <w:pPr>
              <w:spacing w:after="0" w:line="240" w:lineRule="auto"/>
              <w:rPr>
                <w:rFonts w:ascii="Arial" w:hAnsi="Arial" w:cs="Arial"/>
              </w:rPr>
            </w:pPr>
            <w:r w:rsidRPr="00204077">
              <w:rPr>
                <w:rFonts w:ascii="Arial" w:hAnsi="Arial" w:cs="Arial"/>
                <w:lang w:val="en-US"/>
              </w:rPr>
              <w:t xml:space="preserve">c. They understand the aims, content, teaching strategies and intended outcomes for the lessons in which they are involved, and understand the place of these in the related teaching </w:t>
            </w:r>
            <w:proofErr w:type="spellStart"/>
            <w:r w:rsidRPr="00204077">
              <w:rPr>
                <w:rFonts w:ascii="Arial" w:hAnsi="Arial" w:cs="Arial"/>
                <w:lang w:val="en-US"/>
              </w:rPr>
              <w:t>programme</w:t>
            </w:r>
            <w:proofErr w:type="spellEnd"/>
            <w:r w:rsidRPr="00204077">
              <w:rPr>
                <w:rFonts w:ascii="Arial" w:hAnsi="Arial" w:cs="Arial"/>
                <w:lang w:val="en-US"/>
              </w:rPr>
              <w:t>.</w:t>
            </w:r>
          </w:p>
        </w:tc>
      </w:tr>
      <w:tr w:rsidR="003B6CA8" w:rsidRPr="00204077" w:rsidTr="00B738CB">
        <w:tc>
          <w:tcPr>
            <w:tcW w:w="10763" w:type="dxa"/>
            <w:vAlign w:val="center"/>
          </w:tcPr>
          <w:p w:rsidR="003B6CA8" w:rsidRPr="00204077" w:rsidRDefault="003B6CA8" w:rsidP="00B738CB">
            <w:pPr>
              <w:spacing w:after="0" w:line="240" w:lineRule="auto"/>
              <w:rPr>
                <w:rFonts w:ascii="Arial" w:hAnsi="Arial" w:cs="Arial"/>
              </w:rPr>
            </w:pPr>
            <w:r w:rsidRPr="00204077">
              <w:rPr>
                <w:rFonts w:ascii="Arial" w:hAnsi="Arial" w:cs="Arial"/>
                <w:lang w:val="en-US"/>
              </w:rPr>
              <w:t>d. They know how to use information and communication technology (ICT) to advance students’ learning, and can use common ICT tools for their own and students’ benefit.</w:t>
            </w:r>
          </w:p>
        </w:tc>
      </w:tr>
      <w:tr w:rsidR="003B6CA8" w:rsidRPr="00204077" w:rsidTr="00B738CB">
        <w:tc>
          <w:tcPr>
            <w:tcW w:w="10763" w:type="dxa"/>
            <w:vAlign w:val="center"/>
          </w:tcPr>
          <w:p w:rsidR="003B6CA8" w:rsidRPr="00204077" w:rsidRDefault="003B6CA8" w:rsidP="00B738CB">
            <w:pPr>
              <w:spacing w:after="0" w:line="240" w:lineRule="auto"/>
              <w:rPr>
                <w:rFonts w:ascii="Arial" w:hAnsi="Arial" w:cs="Arial"/>
                <w:lang w:val="en-US"/>
              </w:rPr>
            </w:pPr>
            <w:r w:rsidRPr="00204077">
              <w:rPr>
                <w:rFonts w:ascii="Arial" w:hAnsi="Arial" w:cs="Arial"/>
                <w:lang w:val="en-US"/>
              </w:rPr>
              <w:t>e. They know the key factors that can affect the way students learn.</w:t>
            </w:r>
          </w:p>
        </w:tc>
      </w:tr>
      <w:tr w:rsidR="003B6CA8" w:rsidRPr="00204077" w:rsidTr="00B738CB">
        <w:tc>
          <w:tcPr>
            <w:tcW w:w="10763" w:type="dxa"/>
            <w:vAlign w:val="center"/>
          </w:tcPr>
          <w:p w:rsidR="003B6CA8" w:rsidRPr="00204077" w:rsidRDefault="003B6CA8" w:rsidP="00B738CB">
            <w:pPr>
              <w:spacing w:after="0" w:line="240" w:lineRule="auto"/>
              <w:rPr>
                <w:rFonts w:ascii="Arial" w:hAnsi="Arial" w:cs="Arial"/>
              </w:rPr>
            </w:pPr>
            <w:r w:rsidRPr="00204077">
              <w:rPr>
                <w:rFonts w:ascii="Arial" w:hAnsi="Arial" w:cs="Arial"/>
                <w:lang w:val="en-US"/>
              </w:rPr>
              <w:t>f. They have achieved a qualification in English/literacy and mathematics/numeracy, equivalent to at least level 2 of the national qualifications framework.</w:t>
            </w:r>
          </w:p>
        </w:tc>
      </w:tr>
      <w:tr w:rsidR="003B6CA8" w:rsidRPr="00204077" w:rsidTr="00B738CB">
        <w:tc>
          <w:tcPr>
            <w:tcW w:w="10763" w:type="dxa"/>
            <w:vAlign w:val="center"/>
          </w:tcPr>
          <w:p w:rsidR="003B6CA8" w:rsidRPr="00204077" w:rsidRDefault="003B6CA8" w:rsidP="00B738CB">
            <w:pPr>
              <w:spacing w:after="0" w:line="240" w:lineRule="auto"/>
              <w:rPr>
                <w:rFonts w:ascii="Arial" w:hAnsi="Arial" w:cs="Arial"/>
                <w:lang w:val="en-US"/>
              </w:rPr>
            </w:pPr>
            <w:r w:rsidRPr="00204077">
              <w:rPr>
                <w:rFonts w:ascii="Arial" w:hAnsi="Arial" w:cs="Arial"/>
                <w:lang w:val="en-US"/>
              </w:rPr>
              <w:t>g. They are aware of the statutory frameworks relevant to their role.</w:t>
            </w:r>
          </w:p>
        </w:tc>
      </w:tr>
      <w:tr w:rsidR="003B6CA8" w:rsidRPr="00204077" w:rsidTr="00B738CB">
        <w:tc>
          <w:tcPr>
            <w:tcW w:w="10763" w:type="dxa"/>
            <w:vAlign w:val="center"/>
          </w:tcPr>
          <w:p w:rsidR="003B6CA8" w:rsidRPr="00204077" w:rsidRDefault="003B6CA8" w:rsidP="00B738CB">
            <w:pPr>
              <w:spacing w:after="0" w:line="240" w:lineRule="auto"/>
              <w:rPr>
                <w:rFonts w:ascii="Arial" w:hAnsi="Arial" w:cs="Arial"/>
              </w:rPr>
            </w:pPr>
            <w:r w:rsidRPr="00204077">
              <w:rPr>
                <w:rFonts w:ascii="Arial" w:hAnsi="Arial" w:cs="Arial"/>
                <w:lang w:val="en-US"/>
              </w:rPr>
              <w:t xml:space="preserve">h. They know the legal definition of special educational needs (SEN), and are familiar with the guidance about meeting SEN given in the </w:t>
            </w:r>
            <w:r w:rsidRPr="00204077">
              <w:rPr>
                <w:rFonts w:ascii="Arial" w:hAnsi="Arial" w:cs="Arial"/>
                <w:i/>
                <w:iCs/>
                <w:lang w:val="en-US"/>
              </w:rPr>
              <w:t>SEN: code of practice</w:t>
            </w:r>
            <w:r w:rsidRPr="00204077">
              <w:rPr>
                <w:rFonts w:ascii="Arial" w:hAnsi="Arial" w:cs="Arial"/>
                <w:lang w:val="en-US"/>
              </w:rPr>
              <w:t>.</w:t>
            </w:r>
          </w:p>
        </w:tc>
      </w:tr>
      <w:tr w:rsidR="003B6CA8" w:rsidRPr="00204077" w:rsidTr="00B738CB">
        <w:tc>
          <w:tcPr>
            <w:tcW w:w="10763" w:type="dxa"/>
            <w:vAlign w:val="center"/>
          </w:tcPr>
          <w:p w:rsidR="003B6CA8" w:rsidRPr="00204077" w:rsidRDefault="003B6CA8" w:rsidP="00B738CB">
            <w:pPr>
              <w:spacing w:after="0" w:line="240" w:lineRule="auto"/>
              <w:rPr>
                <w:rFonts w:ascii="Arial" w:hAnsi="Arial" w:cs="Arial"/>
              </w:rPr>
            </w:pPr>
            <w:proofErr w:type="spellStart"/>
            <w:r w:rsidRPr="00204077">
              <w:rPr>
                <w:rFonts w:ascii="Arial" w:hAnsi="Arial" w:cs="Arial"/>
                <w:lang w:val="en-US"/>
              </w:rPr>
              <w:t>i</w:t>
            </w:r>
            <w:proofErr w:type="spellEnd"/>
            <w:r w:rsidRPr="00204077">
              <w:rPr>
                <w:rFonts w:ascii="Arial" w:hAnsi="Arial" w:cs="Arial"/>
                <w:lang w:val="en-US"/>
              </w:rPr>
              <w:t xml:space="preserve">. They know a range of strategies to establish a purposeful learning environment and to promote good </w:t>
            </w:r>
            <w:proofErr w:type="spellStart"/>
            <w:r w:rsidRPr="00204077">
              <w:rPr>
                <w:rFonts w:ascii="Arial" w:hAnsi="Arial" w:cs="Arial"/>
                <w:lang w:val="en-US"/>
              </w:rPr>
              <w:t>behaviour</w:t>
            </w:r>
            <w:proofErr w:type="spellEnd"/>
            <w:r w:rsidRPr="00204077">
              <w:rPr>
                <w:rFonts w:ascii="Arial" w:hAnsi="Arial" w:cs="Arial"/>
                <w:lang w:val="en-US"/>
              </w:rPr>
              <w:t>.</w:t>
            </w:r>
          </w:p>
        </w:tc>
      </w:tr>
      <w:tr w:rsidR="003B6CA8" w:rsidRPr="00204077" w:rsidTr="00B738CB">
        <w:tc>
          <w:tcPr>
            <w:tcW w:w="10763" w:type="dxa"/>
            <w:shd w:val="clear" w:color="auto" w:fill="BFBFBF"/>
            <w:vAlign w:val="center"/>
          </w:tcPr>
          <w:p w:rsidR="003B6CA8" w:rsidRPr="00204077" w:rsidRDefault="003B6CA8" w:rsidP="00B738CB">
            <w:pPr>
              <w:spacing w:after="0" w:line="240" w:lineRule="auto"/>
              <w:rPr>
                <w:rFonts w:ascii="Arial" w:hAnsi="Arial" w:cs="Arial"/>
                <w:b/>
                <w:bCs/>
              </w:rPr>
            </w:pPr>
            <w:r w:rsidRPr="00204077">
              <w:rPr>
                <w:rFonts w:ascii="Arial" w:hAnsi="Arial" w:cs="Arial"/>
                <w:b/>
                <w:bCs/>
              </w:rPr>
              <w:lastRenderedPageBreak/>
              <w:t>3. TEACHING &amp; LEARNING ACTIVITIES</w:t>
            </w:r>
          </w:p>
        </w:tc>
      </w:tr>
      <w:tr w:rsidR="003B6CA8" w:rsidRPr="00204077" w:rsidTr="00B738CB">
        <w:tc>
          <w:tcPr>
            <w:tcW w:w="10763" w:type="dxa"/>
            <w:shd w:val="clear" w:color="auto" w:fill="BFBFBF"/>
            <w:vAlign w:val="center"/>
          </w:tcPr>
          <w:p w:rsidR="003B6CA8" w:rsidRPr="00204077" w:rsidRDefault="003B6CA8" w:rsidP="00B738CB">
            <w:pPr>
              <w:spacing w:after="0" w:line="240" w:lineRule="auto"/>
              <w:rPr>
                <w:rFonts w:ascii="Arial" w:hAnsi="Arial" w:cs="Arial"/>
                <w:b/>
                <w:bCs/>
                <w:lang w:val="en-US"/>
              </w:rPr>
            </w:pPr>
            <w:r w:rsidRPr="00204077">
              <w:rPr>
                <w:rFonts w:ascii="Arial" w:hAnsi="Arial" w:cs="Arial"/>
                <w:b/>
                <w:bCs/>
                <w:lang w:val="en-US"/>
              </w:rPr>
              <w:t>3.1 Planning &amp; expectations</w:t>
            </w:r>
          </w:p>
        </w:tc>
      </w:tr>
      <w:tr w:rsidR="003B6CA8" w:rsidRPr="00204077" w:rsidTr="00B738CB">
        <w:tc>
          <w:tcPr>
            <w:tcW w:w="10763" w:type="dxa"/>
            <w:vAlign w:val="center"/>
          </w:tcPr>
          <w:p w:rsidR="003B6CA8" w:rsidRPr="00204077" w:rsidRDefault="003B6CA8" w:rsidP="00B738CB">
            <w:pPr>
              <w:spacing w:after="0" w:line="240" w:lineRule="auto"/>
              <w:rPr>
                <w:rFonts w:ascii="Arial" w:hAnsi="Arial" w:cs="Arial"/>
                <w:lang w:val="en-US"/>
              </w:rPr>
            </w:pPr>
            <w:r w:rsidRPr="00204077">
              <w:rPr>
                <w:rFonts w:ascii="Arial" w:hAnsi="Arial" w:cs="Arial"/>
                <w:lang w:val="en-US"/>
              </w:rPr>
              <w:t>a. They contribute effectively to teachers’ planning and preparation of lessons.</w:t>
            </w:r>
          </w:p>
        </w:tc>
      </w:tr>
      <w:tr w:rsidR="003B6CA8" w:rsidRPr="00204077" w:rsidTr="00B738CB">
        <w:tc>
          <w:tcPr>
            <w:tcW w:w="10763" w:type="dxa"/>
            <w:tcBorders>
              <w:bottom w:val="single" w:sz="4" w:space="0" w:color="000000"/>
            </w:tcBorders>
            <w:vAlign w:val="center"/>
          </w:tcPr>
          <w:p w:rsidR="003B6CA8" w:rsidRPr="00204077" w:rsidRDefault="003B6CA8" w:rsidP="00B738CB">
            <w:pPr>
              <w:spacing w:after="0" w:line="240" w:lineRule="auto"/>
              <w:rPr>
                <w:rFonts w:ascii="Arial" w:hAnsi="Arial" w:cs="Arial"/>
                <w:i/>
              </w:rPr>
            </w:pPr>
            <w:r w:rsidRPr="00204077">
              <w:rPr>
                <w:rFonts w:ascii="Arial" w:hAnsi="Arial" w:cs="Arial"/>
                <w:lang w:val="en-US"/>
              </w:rPr>
              <w:t xml:space="preserve">b. Working within a framework set by the teacher, they plan their role in lessons including how they will provide feedback to students and colleagues on students’ learning and </w:t>
            </w:r>
            <w:proofErr w:type="spellStart"/>
            <w:r w:rsidRPr="00204077">
              <w:rPr>
                <w:rFonts w:ascii="Arial" w:hAnsi="Arial" w:cs="Arial"/>
                <w:lang w:val="en-US"/>
              </w:rPr>
              <w:t>behaviour</w:t>
            </w:r>
            <w:proofErr w:type="spellEnd"/>
            <w:r w:rsidRPr="00204077">
              <w:rPr>
                <w:rFonts w:ascii="Arial" w:hAnsi="Arial" w:cs="Arial"/>
                <w:lang w:val="en-US"/>
              </w:rPr>
              <w:t>.</w:t>
            </w:r>
          </w:p>
        </w:tc>
      </w:tr>
      <w:tr w:rsidR="003B6CA8" w:rsidRPr="00204077" w:rsidTr="00B738CB">
        <w:tc>
          <w:tcPr>
            <w:tcW w:w="10763" w:type="dxa"/>
            <w:tcBorders>
              <w:bottom w:val="single" w:sz="4" w:space="0" w:color="000000"/>
            </w:tcBorders>
            <w:vAlign w:val="center"/>
          </w:tcPr>
          <w:p w:rsidR="003B6CA8" w:rsidRPr="00204077" w:rsidRDefault="003B6CA8" w:rsidP="00B738CB">
            <w:pPr>
              <w:spacing w:after="0" w:line="240" w:lineRule="auto"/>
              <w:rPr>
                <w:rFonts w:ascii="Arial" w:hAnsi="Arial" w:cs="Arial"/>
                <w:i/>
              </w:rPr>
            </w:pPr>
            <w:r w:rsidRPr="00204077">
              <w:rPr>
                <w:rFonts w:ascii="Arial" w:hAnsi="Arial" w:cs="Arial"/>
                <w:lang w:val="en-US"/>
              </w:rPr>
              <w:t>c. They contribute effectively to the selection and preparation of teaching resources that meet the diversity of students’ needs and interests.</w:t>
            </w:r>
          </w:p>
        </w:tc>
      </w:tr>
      <w:tr w:rsidR="003B6CA8" w:rsidRPr="00204077" w:rsidTr="00B738CB">
        <w:tc>
          <w:tcPr>
            <w:tcW w:w="10763" w:type="dxa"/>
            <w:tcBorders>
              <w:bottom w:val="single" w:sz="4" w:space="0" w:color="000000"/>
            </w:tcBorders>
          </w:tcPr>
          <w:p w:rsidR="003B6CA8" w:rsidRPr="00204077" w:rsidRDefault="003B6CA8" w:rsidP="00B738CB">
            <w:pPr>
              <w:spacing w:after="0" w:line="240" w:lineRule="auto"/>
              <w:rPr>
                <w:rFonts w:ascii="Arial" w:hAnsi="Arial" w:cs="Arial"/>
                <w:lang w:val="en-US"/>
              </w:rPr>
            </w:pPr>
            <w:r w:rsidRPr="00204077">
              <w:rPr>
                <w:rFonts w:ascii="Arial" w:hAnsi="Arial" w:cs="Arial"/>
                <w:lang w:val="en-US"/>
              </w:rPr>
              <w:t>d. They are able to contribute to the planning of opportunities for students to learn in out-of-Academy contexts, in accordance with Academy policies and procedures.</w:t>
            </w:r>
          </w:p>
        </w:tc>
      </w:tr>
      <w:tr w:rsidR="003B6CA8" w:rsidRPr="00204077" w:rsidTr="00B738CB">
        <w:tc>
          <w:tcPr>
            <w:tcW w:w="10763" w:type="dxa"/>
            <w:shd w:val="clear" w:color="auto" w:fill="BFBFBF"/>
          </w:tcPr>
          <w:p w:rsidR="003B6CA8" w:rsidRPr="00204077" w:rsidRDefault="003B6CA8" w:rsidP="00B738CB">
            <w:pPr>
              <w:spacing w:after="0" w:line="240" w:lineRule="auto"/>
              <w:rPr>
                <w:rFonts w:ascii="Arial" w:hAnsi="Arial" w:cs="Arial"/>
                <w:b/>
                <w:bCs/>
                <w:lang w:val="en-US"/>
              </w:rPr>
            </w:pPr>
            <w:r w:rsidRPr="00204077">
              <w:rPr>
                <w:rFonts w:ascii="Arial" w:hAnsi="Arial" w:cs="Arial"/>
                <w:b/>
                <w:bCs/>
                <w:lang w:val="en-US"/>
              </w:rPr>
              <w:t>3.2 Monitoring &amp; Assessment</w:t>
            </w:r>
          </w:p>
        </w:tc>
      </w:tr>
      <w:tr w:rsidR="003B6CA8" w:rsidRPr="00204077" w:rsidTr="00B738CB">
        <w:tc>
          <w:tcPr>
            <w:tcW w:w="10763" w:type="dxa"/>
          </w:tcPr>
          <w:p w:rsidR="003B6CA8" w:rsidRPr="00204077" w:rsidRDefault="003B6CA8" w:rsidP="00B738CB">
            <w:pPr>
              <w:spacing w:after="0" w:line="240" w:lineRule="auto"/>
              <w:rPr>
                <w:rFonts w:ascii="Arial" w:hAnsi="Arial" w:cs="Arial"/>
                <w:i/>
              </w:rPr>
            </w:pPr>
            <w:r w:rsidRPr="00204077">
              <w:rPr>
                <w:rFonts w:ascii="Arial" w:hAnsi="Arial" w:cs="Arial"/>
                <w:lang w:val="en-US"/>
              </w:rPr>
              <w:t>a. They are able to support teachers in evaluating students’ progress through a range of assessment activities.</w:t>
            </w:r>
          </w:p>
        </w:tc>
      </w:tr>
      <w:tr w:rsidR="003B6CA8" w:rsidRPr="00204077" w:rsidTr="00B738CB">
        <w:tc>
          <w:tcPr>
            <w:tcW w:w="10763" w:type="dxa"/>
            <w:tcBorders>
              <w:bottom w:val="single" w:sz="4" w:space="0" w:color="000000"/>
            </w:tcBorders>
          </w:tcPr>
          <w:p w:rsidR="003B6CA8" w:rsidRPr="00204077" w:rsidRDefault="003B6CA8" w:rsidP="00B738CB">
            <w:pPr>
              <w:spacing w:after="0" w:line="240" w:lineRule="auto"/>
              <w:rPr>
                <w:rFonts w:ascii="Arial" w:hAnsi="Arial" w:cs="Arial"/>
                <w:lang w:val="en-US"/>
              </w:rPr>
            </w:pPr>
            <w:r w:rsidRPr="00204077">
              <w:rPr>
                <w:rFonts w:ascii="Arial" w:hAnsi="Arial" w:cs="Arial"/>
                <w:lang w:val="en-US"/>
              </w:rPr>
              <w:t>b. They monitor students’ responses to learning tasks and modify their approach accordingly.</w:t>
            </w:r>
          </w:p>
        </w:tc>
      </w:tr>
      <w:tr w:rsidR="003B6CA8" w:rsidRPr="00204077" w:rsidTr="00B738CB">
        <w:tc>
          <w:tcPr>
            <w:tcW w:w="10763" w:type="dxa"/>
          </w:tcPr>
          <w:p w:rsidR="003B6CA8" w:rsidRPr="00204077" w:rsidRDefault="003B6CA8" w:rsidP="00B738CB">
            <w:pPr>
              <w:spacing w:after="0" w:line="240" w:lineRule="auto"/>
              <w:rPr>
                <w:rFonts w:ascii="Arial" w:hAnsi="Arial" w:cs="Arial"/>
                <w:i/>
              </w:rPr>
            </w:pPr>
            <w:r w:rsidRPr="00204077">
              <w:rPr>
                <w:rFonts w:ascii="Arial" w:hAnsi="Arial" w:cs="Arial"/>
                <w:lang w:val="en-US"/>
              </w:rPr>
              <w:t>c. They monitor students’ participation and progress, providing feedback to teachers, and giving constructive support to students as they learn.</w:t>
            </w:r>
          </w:p>
        </w:tc>
      </w:tr>
      <w:tr w:rsidR="003B6CA8" w:rsidRPr="00204077" w:rsidTr="00B738CB">
        <w:tc>
          <w:tcPr>
            <w:tcW w:w="10763" w:type="dxa"/>
          </w:tcPr>
          <w:p w:rsidR="003B6CA8" w:rsidRPr="00204077" w:rsidRDefault="003B6CA8" w:rsidP="00B738CB">
            <w:pPr>
              <w:spacing w:after="0" w:line="240" w:lineRule="auto"/>
              <w:rPr>
                <w:rFonts w:ascii="Arial" w:hAnsi="Arial" w:cs="Arial"/>
                <w:lang w:val="en-US"/>
              </w:rPr>
            </w:pPr>
            <w:r w:rsidRPr="00204077">
              <w:rPr>
                <w:rFonts w:ascii="Arial" w:hAnsi="Arial" w:cs="Arial"/>
                <w:lang w:val="en-US"/>
              </w:rPr>
              <w:t xml:space="preserve">d. They contribute to maintaining and </w:t>
            </w:r>
            <w:proofErr w:type="spellStart"/>
            <w:r w:rsidRPr="00204077">
              <w:rPr>
                <w:rFonts w:ascii="Arial" w:hAnsi="Arial" w:cs="Arial"/>
                <w:lang w:val="en-US"/>
              </w:rPr>
              <w:t>analysing</w:t>
            </w:r>
            <w:proofErr w:type="spellEnd"/>
            <w:r w:rsidRPr="00204077">
              <w:rPr>
                <w:rFonts w:ascii="Arial" w:hAnsi="Arial" w:cs="Arial"/>
                <w:lang w:val="en-US"/>
              </w:rPr>
              <w:t xml:space="preserve"> records of students’ progress.</w:t>
            </w:r>
          </w:p>
        </w:tc>
      </w:tr>
      <w:tr w:rsidR="003B6CA8" w:rsidRPr="00204077" w:rsidTr="00B738CB">
        <w:tc>
          <w:tcPr>
            <w:tcW w:w="10763" w:type="dxa"/>
            <w:shd w:val="clear" w:color="auto" w:fill="BFBFBF"/>
          </w:tcPr>
          <w:p w:rsidR="003B6CA8" w:rsidRPr="00204077" w:rsidRDefault="003B6CA8" w:rsidP="003B6CA8">
            <w:pPr>
              <w:numPr>
                <w:ilvl w:val="0"/>
                <w:numId w:val="1"/>
              </w:numPr>
              <w:tabs>
                <w:tab w:val="num" w:pos="360"/>
              </w:tabs>
              <w:spacing w:after="0" w:line="240" w:lineRule="auto"/>
              <w:rPr>
                <w:rFonts w:ascii="Arial" w:hAnsi="Arial" w:cs="Arial"/>
                <w:b/>
                <w:bCs/>
                <w:i/>
                <w:iCs/>
                <w:lang w:val="en-US"/>
              </w:rPr>
            </w:pPr>
            <w:r w:rsidRPr="00204077">
              <w:rPr>
                <w:rFonts w:ascii="Arial" w:hAnsi="Arial" w:cs="Arial"/>
                <w:b/>
                <w:bCs/>
                <w:iCs/>
                <w:lang w:val="en-US"/>
              </w:rPr>
              <w:t>3.3 Teaching &amp; Learning Activities</w:t>
            </w:r>
          </w:p>
        </w:tc>
      </w:tr>
      <w:tr w:rsidR="003B6CA8" w:rsidRPr="00204077" w:rsidTr="00B738CB">
        <w:tc>
          <w:tcPr>
            <w:tcW w:w="10763" w:type="dxa"/>
          </w:tcPr>
          <w:p w:rsidR="003B6CA8" w:rsidRPr="00204077" w:rsidRDefault="003B6CA8" w:rsidP="00B738CB">
            <w:pPr>
              <w:spacing w:after="0" w:line="240" w:lineRule="auto"/>
              <w:rPr>
                <w:rFonts w:ascii="Arial" w:hAnsi="Arial" w:cs="Arial"/>
                <w:iCs/>
              </w:rPr>
            </w:pPr>
            <w:proofErr w:type="gramStart"/>
            <w:r w:rsidRPr="00204077">
              <w:rPr>
                <w:rFonts w:ascii="Arial" w:hAnsi="Arial" w:cs="Arial"/>
                <w:lang w:val="en-US"/>
              </w:rPr>
              <w:t>a</w:t>
            </w:r>
            <w:proofErr w:type="gramEnd"/>
            <w:r w:rsidRPr="00204077">
              <w:rPr>
                <w:rFonts w:ascii="Arial" w:hAnsi="Arial" w:cs="Arial"/>
                <w:lang w:val="en-US"/>
              </w:rPr>
              <w:t>. Using clearly structured teaching and learning activities, they interest and motivate students, and advance their learning.</w:t>
            </w:r>
          </w:p>
        </w:tc>
      </w:tr>
      <w:tr w:rsidR="003B6CA8" w:rsidRPr="00204077" w:rsidTr="00B738CB">
        <w:tc>
          <w:tcPr>
            <w:tcW w:w="10763" w:type="dxa"/>
          </w:tcPr>
          <w:p w:rsidR="003B6CA8" w:rsidRPr="00204077" w:rsidRDefault="003B6CA8" w:rsidP="00B738CB">
            <w:pPr>
              <w:spacing w:after="0" w:line="240" w:lineRule="auto"/>
              <w:rPr>
                <w:rFonts w:ascii="Arial" w:hAnsi="Arial" w:cs="Arial"/>
              </w:rPr>
            </w:pPr>
            <w:r w:rsidRPr="00204077">
              <w:rPr>
                <w:rFonts w:ascii="Arial" w:hAnsi="Arial" w:cs="Arial"/>
                <w:lang w:val="en-US"/>
              </w:rPr>
              <w:t>b. They communicate effectively and sensitively with students to support their learning.</w:t>
            </w:r>
          </w:p>
        </w:tc>
      </w:tr>
      <w:tr w:rsidR="003B6CA8" w:rsidRPr="00204077" w:rsidTr="00B738CB">
        <w:tc>
          <w:tcPr>
            <w:tcW w:w="10763" w:type="dxa"/>
          </w:tcPr>
          <w:p w:rsidR="003B6CA8" w:rsidRPr="00204077" w:rsidRDefault="003B6CA8" w:rsidP="00B738CB">
            <w:pPr>
              <w:spacing w:after="0" w:line="240" w:lineRule="auto"/>
              <w:rPr>
                <w:rFonts w:ascii="Arial" w:hAnsi="Arial" w:cs="Arial"/>
              </w:rPr>
            </w:pPr>
            <w:r w:rsidRPr="00204077">
              <w:rPr>
                <w:rFonts w:ascii="Arial" w:hAnsi="Arial" w:cs="Arial"/>
                <w:lang w:val="en-US"/>
              </w:rPr>
              <w:t>c. They promote and support the inclusion of all students in the learning activities in which they are involved.</w:t>
            </w:r>
          </w:p>
        </w:tc>
      </w:tr>
      <w:tr w:rsidR="003B6CA8" w:rsidRPr="00204077" w:rsidTr="00B738CB">
        <w:tc>
          <w:tcPr>
            <w:tcW w:w="10763" w:type="dxa"/>
          </w:tcPr>
          <w:p w:rsidR="003B6CA8" w:rsidRPr="00204077" w:rsidRDefault="003B6CA8" w:rsidP="00B738CB">
            <w:pPr>
              <w:spacing w:after="0" w:line="240" w:lineRule="auto"/>
              <w:rPr>
                <w:rFonts w:ascii="Arial" w:hAnsi="Arial" w:cs="Arial"/>
              </w:rPr>
            </w:pPr>
            <w:r w:rsidRPr="00204077">
              <w:rPr>
                <w:rFonts w:ascii="Arial" w:hAnsi="Arial" w:cs="Arial"/>
                <w:lang w:val="en-US"/>
              </w:rPr>
              <w:t xml:space="preserve">d. They use </w:t>
            </w:r>
            <w:proofErr w:type="spellStart"/>
            <w:r w:rsidRPr="00204077">
              <w:rPr>
                <w:rFonts w:ascii="Arial" w:hAnsi="Arial" w:cs="Arial"/>
                <w:lang w:val="en-US"/>
              </w:rPr>
              <w:t>behaviour</w:t>
            </w:r>
            <w:proofErr w:type="spellEnd"/>
            <w:r w:rsidRPr="00204077">
              <w:rPr>
                <w:rFonts w:ascii="Arial" w:hAnsi="Arial" w:cs="Arial"/>
                <w:lang w:val="en-US"/>
              </w:rPr>
              <w:t xml:space="preserve"> management strategies, in line with the Academy’s policy and procedures, which contribute to a purposeful learning environment.</w:t>
            </w:r>
          </w:p>
        </w:tc>
      </w:tr>
      <w:tr w:rsidR="003B6CA8" w:rsidRPr="00204077" w:rsidTr="00B738CB">
        <w:tc>
          <w:tcPr>
            <w:tcW w:w="10763" w:type="dxa"/>
          </w:tcPr>
          <w:p w:rsidR="003B6CA8" w:rsidRPr="00204077" w:rsidRDefault="003B6CA8" w:rsidP="00B738CB">
            <w:pPr>
              <w:spacing w:after="0" w:line="240" w:lineRule="auto"/>
              <w:rPr>
                <w:rFonts w:ascii="Arial" w:hAnsi="Arial" w:cs="Arial"/>
              </w:rPr>
            </w:pPr>
            <w:r w:rsidRPr="00204077">
              <w:rPr>
                <w:rFonts w:ascii="Arial" w:hAnsi="Arial" w:cs="Arial"/>
                <w:lang w:val="en-US"/>
              </w:rPr>
              <w:t>e. They advance students’ learning in a range of classroom settings, including working with individuals, small groups and whole classes where the assigned teacher is not present.</w:t>
            </w:r>
          </w:p>
        </w:tc>
      </w:tr>
      <w:tr w:rsidR="003B6CA8" w:rsidRPr="00204077" w:rsidTr="00B738CB">
        <w:tc>
          <w:tcPr>
            <w:tcW w:w="10763" w:type="dxa"/>
          </w:tcPr>
          <w:p w:rsidR="003B6CA8" w:rsidRPr="00204077" w:rsidRDefault="003B6CA8" w:rsidP="00B738CB">
            <w:pPr>
              <w:spacing w:after="0" w:line="240" w:lineRule="auto"/>
              <w:rPr>
                <w:rFonts w:ascii="Arial" w:hAnsi="Arial" w:cs="Arial"/>
              </w:rPr>
            </w:pPr>
            <w:r w:rsidRPr="00204077">
              <w:rPr>
                <w:rFonts w:ascii="Arial" w:hAnsi="Arial" w:cs="Arial"/>
                <w:lang w:val="en-US"/>
              </w:rPr>
              <w:t>f. They are able, where relevant, to guide the work of other adults supporting teaching and learning in the classroom.</w:t>
            </w:r>
          </w:p>
        </w:tc>
      </w:tr>
      <w:tr w:rsidR="003B6CA8" w:rsidRPr="00204077" w:rsidTr="00B738CB">
        <w:tc>
          <w:tcPr>
            <w:tcW w:w="10763" w:type="dxa"/>
            <w:tcBorders>
              <w:bottom w:val="single" w:sz="4" w:space="0" w:color="000000"/>
            </w:tcBorders>
          </w:tcPr>
          <w:p w:rsidR="003B6CA8" w:rsidRPr="00204077" w:rsidRDefault="003B6CA8" w:rsidP="00B738CB">
            <w:pPr>
              <w:spacing w:after="0" w:line="240" w:lineRule="auto"/>
              <w:rPr>
                <w:rFonts w:ascii="Arial" w:hAnsi="Arial" w:cs="Arial"/>
              </w:rPr>
            </w:pPr>
            <w:r w:rsidRPr="00204077">
              <w:rPr>
                <w:rFonts w:ascii="Arial" w:hAnsi="Arial" w:cs="Arial"/>
                <w:lang w:val="en-US"/>
              </w:rPr>
              <w:t xml:space="preserve">g. They </w:t>
            </w:r>
            <w:proofErr w:type="spellStart"/>
            <w:r w:rsidRPr="00204077">
              <w:rPr>
                <w:rFonts w:ascii="Arial" w:hAnsi="Arial" w:cs="Arial"/>
                <w:lang w:val="en-US"/>
              </w:rPr>
              <w:t>recognise</w:t>
            </w:r>
            <w:proofErr w:type="spellEnd"/>
            <w:r w:rsidRPr="00204077">
              <w:rPr>
                <w:rFonts w:ascii="Arial" w:hAnsi="Arial" w:cs="Arial"/>
                <w:lang w:val="en-US"/>
              </w:rPr>
              <w:t xml:space="preserve"> and respond effectively to equal opportunities issues as they arise, including by challenging stereotyped views, and by challenging bullying or harassment, following relevant policies and procedures.</w:t>
            </w:r>
          </w:p>
        </w:tc>
      </w:tr>
      <w:tr w:rsidR="003B6CA8" w:rsidRPr="00204077" w:rsidTr="00B738CB">
        <w:tc>
          <w:tcPr>
            <w:tcW w:w="10763" w:type="dxa"/>
            <w:tcBorders>
              <w:bottom w:val="single" w:sz="4" w:space="0" w:color="000000"/>
            </w:tcBorders>
          </w:tcPr>
          <w:p w:rsidR="003B6CA8" w:rsidRPr="00204077" w:rsidRDefault="003B6CA8" w:rsidP="00B738CB">
            <w:pPr>
              <w:spacing w:after="0" w:line="240" w:lineRule="auto"/>
              <w:rPr>
                <w:rFonts w:ascii="Arial" w:hAnsi="Arial" w:cs="Arial"/>
              </w:rPr>
            </w:pPr>
            <w:r w:rsidRPr="00204077">
              <w:rPr>
                <w:rFonts w:ascii="Arial" w:hAnsi="Arial" w:cs="Arial"/>
                <w:lang w:val="en-US"/>
              </w:rPr>
              <w:t xml:space="preserve">h. They </w:t>
            </w:r>
            <w:proofErr w:type="spellStart"/>
            <w:r w:rsidRPr="00204077">
              <w:rPr>
                <w:rFonts w:ascii="Arial" w:hAnsi="Arial" w:cs="Arial"/>
                <w:lang w:val="en-US"/>
              </w:rPr>
              <w:t>organise</w:t>
            </w:r>
            <w:proofErr w:type="spellEnd"/>
            <w:r w:rsidRPr="00204077">
              <w:rPr>
                <w:rFonts w:ascii="Arial" w:hAnsi="Arial" w:cs="Arial"/>
                <w:lang w:val="en-US"/>
              </w:rPr>
              <w:t xml:space="preserve"> and manage safely the learning activities, the physical teaching space and resources for which they are given responsibility.</w:t>
            </w:r>
          </w:p>
        </w:tc>
      </w:tr>
    </w:tbl>
    <w:p w:rsidR="003B6CA8" w:rsidRPr="00204077" w:rsidRDefault="003B6CA8" w:rsidP="003B6CA8">
      <w:pPr>
        <w:spacing w:after="0" w:line="240" w:lineRule="auto"/>
        <w:rPr>
          <w:rFonts w:ascii="Arial" w:hAnsi="Arial" w:cs="Arial"/>
        </w:rPr>
      </w:pPr>
    </w:p>
    <w:p w:rsidR="003B6CA8" w:rsidRPr="00204077" w:rsidRDefault="003B6CA8" w:rsidP="003B6CA8">
      <w:pPr>
        <w:spacing w:after="0" w:line="240" w:lineRule="auto"/>
        <w:rPr>
          <w:rFonts w:ascii="Arial" w:hAnsi="Arial" w:cs="Arial"/>
        </w:rPr>
      </w:pPr>
    </w:p>
    <w:p w:rsidR="003B6CA8" w:rsidRPr="00204077" w:rsidRDefault="003B6CA8" w:rsidP="003B6CA8">
      <w:pPr>
        <w:spacing w:after="0" w:line="240" w:lineRule="auto"/>
        <w:rPr>
          <w:rFonts w:ascii="Arial" w:hAnsi="Arial" w:cs="Arial"/>
        </w:rPr>
      </w:pPr>
      <w:r w:rsidRPr="00204077">
        <w:rPr>
          <w:rFonts w:ascii="Arial" w:hAnsi="Arial" w:cs="Arial"/>
        </w:rPr>
        <w:t xml:space="preserve">The following statements define the behaviour and attitudes which set the required standard for conduct throughout a HLTA’s career and must </w:t>
      </w:r>
      <w:r w:rsidRPr="00204077">
        <w:rPr>
          <w:rFonts w:ascii="Arial" w:hAnsi="Arial" w:cs="Arial"/>
          <w:b/>
        </w:rPr>
        <w:t>ALL</w:t>
      </w:r>
      <w:r w:rsidRPr="00204077">
        <w:rPr>
          <w:rFonts w:ascii="Arial" w:hAnsi="Arial" w:cs="Arial"/>
        </w:rPr>
        <w:t xml:space="preserve"> be adhered to at every stage in that career.</w:t>
      </w:r>
    </w:p>
    <w:tbl>
      <w:tblPr>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40"/>
        <w:gridCol w:w="23"/>
      </w:tblGrid>
      <w:tr w:rsidR="003B6CA8" w:rsidRPr="00204077" w:rsidTr="00B738CB">
        <w:tc>
          <w:tcPr>
            <w:tcW w:w="10763" w:type="dxa"/>
            <w:gridSpan w:val="2"/>
            <w:shd w:val="clear" w:color="auto" w:fill="BFBFBF"/>
          </w:tcPr>
          <w:p w:rsidR="003B6CA8" w:rsidRPr="00204077" w:rsidRDefault="003B6CA8" w:rsidP="00B738CB">
            <w:pPr>
              <w:spacing w:after="0" w:line="240" w:lineRule="auto"/>
              <w:rPr>
                <w:rFonts w:ascii="Arial" w:hAnsi="Arial" w:cs="Arial"/>
              </w:rPr>
            </w:pPr>
            <w:r w:rsidRPr="00204077">
              <w:rPr>
                <w:rFonts w:ascii="Arial" w:hAnsi="Arial" w:cs="Arial"/>
                <w:b/>
                <w:bCs/>
              </w:rPr>
              <w:t>PART TWO: PERSONAL &amp; PROFESSIONAL CONDUCT</w:t>
            </w:r>
          </w:p>
        </w:tc>
      </w:tr>
      <w:tr w:rsidR="003B6CA8" w:rsidRPr="00204077" w:rsidTr="00B738CB">
        <w:tc>
          <w:tcPr>
            <w:tcW w:w="10763" w:type="dxa"/>
            <w:gridSpan w:val="2"/>
            <w:shd w:val="clear" w:color="auto" w:fill="BFBFBF"/>
          </w:tcPr>
          <w:p w:rsidR="003B6CA8" w:rsidRPr="00204077" w:rsidRDefault="003B6CA8" w:rsidP="00B738CB">
            <w:pPr>
              <w:spacing w:after="0" w:line="240" w:lineRule="auto"/>
              <w:rPr>
                <w:rFonts w:ascii="Arial" w:hAnsi="Arial" w:cs="Arial"/>
              </w:rPr>
            </w:pPr>
            <w:r w:rsidRPr="00204077">
              <w:rPr>
                <w:rFonts w:ascii="Arial" w:hAnsi="Arial" w:cs="Arial"/>
              </w:rPr>
              <w:t>1. HLTA’s uphold public trust in the Academy and maintain high standards of ethics and behaviour, within and outside of the Academy, by</w:t>
            </w:r>
          </w:p>
        </w:tc>
      </w:tr>
      <w:tr w:rsidR="003B6CA8" w:rsidRPr="00204077" w:rsidTr="00B738CB">
        <w:trPr>
          <w:gridAfter w:val="1"/>
          <w:wAfter w:w="23" w:type="dxa"/>
        </w:trPr>
        <w:tc>
          <w:tcPr>
            <w:tcW w:w="10740" w:type="dxa"/>
          </w:tcPr>
          <w:p w:rsidR="003B6CA8" w:rsidRPr="00204077" w:rsidRDefault="003B6CA8" w:rsidP="00B738CB">
            <w:pPr>
              <w:spacing w:after="0" w:line="240" w:lineRule="auto"/>
              <w:rPr>
                <w:rFonts w:ascii="Arial" w:hAnsi="Arial" w:cs="Arial"/>
                <w:i/>
              </w:rPr>
            </w:pPr>
            <w:r w:rsidRPr="00204077">
              <w:rPr>
                <w:rFonts w:ascii="Arial" w:hAnsi="Arial" w:cs="Arial"/>
              </w:rPr>
              <w:t>a. Treating all contacts with dignity, building relationships rooted in mutual respect, and at all times observing proper boundaries appropriate to a HLTA’s position.</w:t>
            </w:r>
          </w:p>
        </w:tc>
      </w:tr>
      <w:tr w:rsidR="003B6CA8" w:rsidRPr="00204077" w:rsidTr="00B738CB">
        <w:trPr>
          <w:gridAfter w:val="1"/>
          <w:wAfter w:w="23" w:type="dxa"/>
        </w:trPr>
        <w:tc>
          <w:tcPr>
            <w:tcW w:w="10740" w:type="dxa"/>
          </w:tcPr>
          <w:p w:rsidR="003B6CA8" w:rsidRPr="00204077" w:rsidRDefault="003B6CA8" w:rsidP="00B738CB">
            <w:pPr>
              <w:spacing w:after="0" w:line="240" w:lineRule="auto"/>
              <w:rPr>
                <w:rFonts w:ascii="Arial" w:hAnsi="Arial" w:cs="Arial"/>
                <w:i/>
              </w:rPr>
            </w:pPr>
            <w:proofErr w:type="gramStart"/>
            <w:r w:rsidRPr="00204077">
              <w:rPr>
                <w:rFonts w:ascii="Arial" w:hAnsi="Arial" w:cs="Arial"/>
              </w:rPr>
              <w:t>b</w:t>
            </w:r>
            <w:proofErr w:type="gramEnd"/>
            <w:r w:rsidRPr="00204077">
              <w:rPr>
                <w:rFonts w:ascii="Arial" w:hAnsi="Arial" w:cs="Arial"/>
              </w:rPr>
              <w:t>. Having regard for the need to safeguard students’ well-being, in accordance with statutory provisions.</w:t>
            </w:r>
          </w:p>
        </w:tc>
      </w:tr>
      <w:tr w:rsidR="003B6CA8" w:rsidRPr="00204077" w:rsidTr="00B738CB">
        <w:trPr>
          <w:gridAfter w:val="1"/>
          <w:wAfter w:w="23" w:type="dxa"/>
        </w:trPr>
        <w:tc>
          <w:tcPr>
            <w:tcW w:w="10740" w:type="dxa"/>
          </w:tcPr>
          <w:p w:rsidR="003B6CA8" w:rsidRPr="00204077" w:rsidRDefault="003B6CA8" w:rsidP="00B738CB">
            <w:pPr>
              <w:spacing w:after="0" w:line="240" w:lineRule="auto"/>
              <w:rPr>
                <w:rFonts w:ascii="Arial" w:hAnsi="Arial" w:cs="Arial"/>
              </w:rPr>
            </w:pPr>
            <w:r w:rsidRPr="00204077">
              <w:rPr>
                <w:rFonts w:ascii="Arial" w:hAnsi="Arial" w:cs="Arial"/>
              </w:rPr>
              <w:t>c. Showing tolerance of and respect for the rights of others.</w:t>
            </w:r>
          </w:p>
        </w:tc>
      </w:tr>
      <w:tr w:rsidR="003B6CA8" w:rsidRPr="00204077" w:rsidTr="00B738CB">
        <w:trPr>
          <w:gridAfter w:val="1"/>
          <w:wAfter w:w="23" w:type="dxa"/>
        </w:trPr>
        <w:tc>
          <w:tcPr>
            <w:tcW w:w="10740" w:type="dxa"/>
            <w:tcBorders>
              <w:bottom w:val="single" w:sz="4" w:space="0" w:color="000000"/>
            </w:tcBorders>
          </w:tcPr>
          <w:p w:rsidR="003B6CA8" w:rsidRPr="00204077" w:rsidRDefault="003B6CA8" w:rsidP="00B738CB">
            <w:pPr>
              <w:spacing w:after="0" w:line="240" w:lineRule="auto"/>
              <w:rPr>
                <w:rFonts w:ascii="Arial" w:hAnsi="Arial" w:cs="Arial"/>
                <w:i/>
              </w:rPr>
            </w:pPr>
            <w:r w:rsidRPr="00204077">
              <w:rPr>
                <w:rFonts w:ascii="Arial" w:hAnsi="Arial" w:cs="Arial"/>
              </w:rPr>
              <w:t>d. Not undermining fundamental British values, including democracy, the rule of law, individual liberty and mutual respect, and tolerance of those with different faiths and beliefs.</w:t>
            </w:r>
          </w:p>
        </w:tc>
      </w:tr>
      <w:tr w:rsidR="003B6CA8" w:rsidRPr="00204077" w:rsidTr="00B738CB">
        <w:trPr>
          <w:gridAfter w:val="1"/>
          <w:wAfter w:w="23" w:type="dxa"/>
        </w:trPr>
        <w:tc>
          <w:tcPr>
            <w:tcW w:w="10740" w:type="dxa"/>
            <w:tcBorders>
              <w:bottom w:val="single" w:sz="4" w:space="0" w:color="000000"/>
            </w:tcBorders>
          </w:tcPr>
          <w:p w:rsidR="003B6CA8" w:rsidRPr="00204077" w:rsidRDefault="003B6CA8" w:rsidP="00B738CB">
            <w:pPr>
              <w:spacing w:after="0" w:line="240" w:lineRule="auto"/>
              <w:rPr>
                <w:rFonts w:ascii="Arial" w:hAnsi="Arial" w:cs="Arial"/>
              </w:rPr>
            </w:pPr>
            <w:r w:rsidRPr="00204077">
              <w:rPr>
                <w:rFonts w:ascii="Arial" w:hAnsi="Arial" w:cs="Arial"/>
              </w:rPr>
              <w:t>e. Ensuring that personal beliefs are not expressed in ways which exploit students’ vulnerability or might lead them to break the law.</w:t>
            </w:r>
          </w:p>
        </w:tc>
      </w:tr>
      <w:tr w:rsidR="003B6CA8" w:rsidRPr="00204077" w:rsidTr="00B738CB">
        <w:trPr>
          <w:gridAfter w:val="1"/>
          <w:wAfter w:w="23" w:type="dxa"/>
        </w:trPr>
        <w:tc>
          <w:tcPr>
            <w:tcW w:w="10740" w:type="dxa"/>
            <w:tcBorders>
              <w:bottom w:val="single" w:sz="4" w:space="0" w:color="000000"/>
            </w:tcBorders>
          </w:tcPr>
          <w:p w:rsidR="003B6CA8" w:rsidRPr="00204077" w:rsidRDefault="003B6CA8" w:rsidP="00B738CB">
            <w:pPr>
              <w:spacing w:after="0" w:line="240" w:lineRule="auto"/>
              <w:rPr>
                <w:rFonts w:ascii="Arial" w:hAnsi="Arial" w:cs="Arial"/>
              </w:rPr>
            </w:pPr>
            <w:r w:rsidRPr="00204077">
              <w:rPr>
                <w:rFonts w:ascii="Arial" w:hAnsi="Arial" w:cs="Arial"/>
              </w:rPr>
              <w:t>2. HLTA’s must maintain high standards in their own attendance and punctuality.</w:t>
            </w:r>
          </w:p>
        </w:tc>
      </w:tr>
    </w:tbl>
    <w:p w:rsidR="003B6CA8" w:rsidRDefault="003B6CA8" w:rsidP="003B6CA8"/>
    <w:p w:rsidR="00775C00" w:rsidRDefault="00775C00"/>
    <w:sectPr w:rsidR="00775C00" w:rsidSect="003B6C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93159"/>
    <w:multiLevelType w:val="multilevel"/>
    <w:tmpl w:val="1FDEFF56"/>
    <w:lvl w:ilvl="0">
      <w:start w:val="1"/>
      <w:numFmt w:val="decimal"/>
      <w:lvlText w:val="%1."/>
      <w:lvlJc w:val="left"/>
      <w:pPr>
        <w:ind w:left="720" w:hanging="360"/>
      </w:pPr>
      <w:rPr>
        <w:rFonts w:hint="default"/>
      </w:rPr>
    </w:lvl>
    <w:lvl w:ilvl="1">
      <w:start w:val="3"/>
      <w:numFmt w:val="decimal"/>
      <w:isLgl/>
      <w:lvlText w:val="%1.%2"/>
      <w:lvlJc w:val="left"/>
      <w:pPr>
        <w:ind w:left="894" w:hanging="36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CA8"/>
    <w:rsid w:val="000462F2"/>
    <w:rsid w:val="003B6CA8"/>
    <w:rsid w:val="00413405"/>
    <w:rsid w:val="006C14D0"/>
    <w:rsid w:val="00775C00"/>
    <w:rsid w:val="00842CF9"/>
    <w:rsid w:val="008E3AD3"/>
    <w:rsid w:val="00BA1B70"/>
    <w:rsid w:val="00C319DD"/>
    <w:rsid w:val="00CC1FF0"/>
    <w:rsid w:val="00E96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E6D077-B57B-43F9-BBCC-C24FAD0F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C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6C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CA8"/>
    <w:rPr>
      <w:rFonts w:ascii="Tahoma" w:hAnsi="Tahoma" w:cs="Tahoma"/>
      <w:sz w:val="16"/>
      <w:szCs w:val="16"/>
    </w:rPr>
  </w:style>
  <w:style w:type="character" w:styleId="Strong">
    <w:name w:val="Strong"/>
    <w:basedOn w:val="DefaultParagraphFont"/>
    <w:uiPriority w:val="22"/>
    <w:qFormat/>
    <w:rsid w:val="00BA1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F167E4B9-8704-45B2-9496-FCCDEC04A3B4"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108dalea</dc:creator>
  <cp:lastModifiedBy>OTJean.McCartney</cp:lastModifiedBy>
  <cp:revision>3</cp:revision>
  <dcterms:created xsi:type="dcterms:W3CDTF">2016-12-01T15:46:00Z</dcterms:created>
  <dcterms:modified xsi:type="dcterms:W3CDTF">2016-12-01T15:48:00Z</dcterms:modified>
</cp:coreProperties>
</file>