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b w:val="1"/>
          <w:color w:val="0070c0"/>
          <w:sz w:val="24"/>
          <w:szCs w:val="24"/>
          <w:rtl w:val="0"/>
        </w:rPr>
        <w:t xml:space="preserve">ASHINGTON LEARNING PARTNERSHIP</w:t>
      </w:r>
      <w:r w:rsidDel="00000000" w:rsidR="00000000" w:rsidRPr="00000000">
        <w:drawing>
          <wp:anchor allowOverlap="1" behindDoc="0" distB="0" distT="0" distL="114300" distR="114300" hidden="0" layoutInCell="0" locked="0" relativeHeight="0" simplePos="0">
            <wp:simplePos x="0" y="0"/>
            <wp:positionH relativeFrom="margin">
              <wp:posOffset>5841365</wp:posOffset>
            </wp:positionH>
            <wp:positionV relativeFrom="paragraph">
              <wp:posOffset>-142874</wp:posOffset>
            </wp:positionV>
            <wp:extent cx="833755" cy="504825"/>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33755" cy="504825"/>
                    </a:xfrm>
                    <a:prstGeom prst="rect"/>
                    <a:ln/>
                  </pic:spPr>
                </pic:pic>
              </a:graphicData>
            </a:graphic>
          </wp:anchor>
        </w:drawing>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Information for job applicants on arrangements for teachers’ pay</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Our Pay Policy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school’s Pay Policy is reviewed every year and agreed by governors.  The key decisions about arrangements for classroom teachers are summarised below.  A full copy of the policy is available on request.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Pay ranges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We have set pay ranges for the main pay range and upper pay range that are the same as the statutory minima and maxima in the School Teachers’ Pay and Conditions Document.  We advertise classroom teacher vacancies from the minimum of the main pay range to the maximum of the upper pay range as we welcome applications from teachers at all stages of their careers.  We have set the following reference points within the minimum and maximum of each pay range as we believe this is a fair and transparent arrangement: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Upper Pay Range:</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Visual w:val="0"/>
        <w:tblW w:w="4773.000000000001" w:type="dxa"/>
        <w:jc w:val="left"/>
        <w:tblInd w:w="16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236"/>
        <w:gridCol w:w="1418"/>
        <w:gridCol w:w="283"/>
        <w:gridCol w:w="1418"/>
        <w:tblGridChange w:id="0">
          <w:tblGrid>
            <w:gridCol w:w="1418"/>
            <w:gridCol w:w="236"/>
            <w:gridCol w:w="1418"/>
            <w:gridCol w:w="283"/>
            <w:gridCol w:w="1418"/>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UPR1</w:t>
            </w:r>
          </w:p>
        </w:tc>
        <w:tc>
          <w:tcPr>
            <w:tcBorders>
              <w:top w:color="000000" w:space="0" w:sz="0" w:val="nil"/>
              <w:left w:color="0000ff" w:space="0" w:sz="4" w:val="single"/>
              <w:bottom w:color="000000" w:space="0" w:sz="0" w:val="nil"/>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UPR2</w:t>
            </w:r>
          </w:p>
        </w:tc>
        <w:tc>
          <w:tcPr>
            <w:tcBorders>
              <w:top w:color="000000" w:space="0" w:sz="0" w:val="nil"/>
              <w:left w:color="0000ff" w:space="0" w:sz="4" w:val="single"/>
              <w:bottom w:color="000000" w:space="0" w:sz="0" w:val="nil"/>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UPR3</w:t>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£35,</w:t>
            </w:r>
            <w:r w:rsidDel="00000000" w:rsidR="00000000" w:rsidRPr="00000000">
              <w:rPr>
                <w:rtl w:val="0"/>
              </w:rPr>
              <w:t xml:space="preserve">571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£36,</w:t>
            </w:r>
            <w:r w:rsidDel="00000000" w:rsidR="00000000" w:rsidRPr="00000000">
              <w:rPr>
                <w:rtl w:val="0"/>
              </w:rPr>
              <w:t xml:space="preserve">889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£3</w:t>
            </w:r>
            <w:r w:rsidDel="00000000" w:rsidR="00000000" w:rsidRPr="00000000">
              <w:rPr>
                <w:rtl w:val="0"/>
              </w:rPr>
              <w:t xml:space="preserve">8,250</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Main Pay Range:</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Visual w:val="0"/>
        <w:tblW w:w="9340.000000000002" w:type="dxa"/>
        <w:jc w:val="left"/>
        <w:tblInd w:w="13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2"/>
        <w:gridCol w:w="242"/>
        <w:gridCol w:w="1353"/>
        <w:gridCol w:w="278"/>
        <w:gridCol w:w="1335"/>
        <w:gridCol w:w="242"/>
        <w:gridCol w:w="1335"/>
        <w:gridCol w:w="291"/>
        <w:gridCol w:w="1335"/>
        <w:gridCol w:w="242"/>
        <w:gridCol w:w="1335"/>
        <w:tblGridChange w:id="0">
          <w:tblGrid>
            <w:gridCol w:w="1352"/>
            <w:gridCol w:w="242"/>
            <w:gridCol w:w="1353"/>
            <w:gridCol w:w="278"/>
            <w:gridCol w:w="1335"/>
            <w:gridCol w:w="242"/>
            <w:gridCol w:w="1335"/>
            <w:gridCol w:w="291"/>
            <w:gridCol w:w="1335"/>
            <w:gridCol w:w="242"/>
            <w:gridCol w:w="1335"/>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MPR1</w:t>
            </w:r>
          </w:p>
        </w:tc>
        <w:tc>
          <w:tcPr>
            <w:tcBorders>
              <w:top w:color="000000" w:space="0" w:sz="0" w:val="nil"/>
              <w:left w:color="0000ff" w:space="0" w:sz="4" w:val="single"/>
              <w:bottom w:color="000000" w:space="0" w:sz="0" w:val="nil"/>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MPR2</w:t>
            </w:r>
          </w:p>
        </w:tc>
        <w:tc>
          <w:tcPr>
            <w:tcBorders>
              <w:top w:color="000000" w:space="0" w:sz="0" w:val="nil"/>
              <w:left w:color="0000ff" w:space="0" w:sz="4" w:val="single"/>
              <w:bottom w:color="000000" w:space="0" w:sz="0" w:val="nil"/>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MPR3</w:t>
            </w:r>
          </w:p>
        </w:tc>
        <w:tc>
          <w:tcPr>
            <w:tcBorders>
              <w:top w:color="000000" w:space="0" w:sz="0" w:val="nil"/>
              <w:left w:color="0000ff" w:space="0" w:sz="4" w:val="single"/>
              <w:bottom w:color="000000" w:space="0" w:sz="0" w:val="nil"/>
              <w:right w:color="0000ff" w:space="0" w:sz="4" w:val="single"/>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MPR4</w:t>
            </w:r>
          </w:p>
        </w:tc>
        <w:tc>
          <w:tcPr>
            <w:tcBorders>
              <w:top w:color="000000" w:space="0" w:sz="0" w:val="nil"/>
              <w:left w:color="0000ff" w:space="0" w:sz="4" w:val="single"/>
              <w:bottom w:color="000000" w:space="0" w:sz="0" w:val="nil"/>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MPR5</w:t>
            </w:r>
          </w:p>
        </w:tc>
        <w:tc>
          <w:tcPr>
            <w:tcBorders>
              <w:top w:color="000000" w:space="0" w:sz="0" w:val="nil"/>
              <w:left w:color="0000ff" w:space="0" w:sz="4" w:val="single"/>
              <w:bottom w:color="000000" w:space="0" w:sz="0" w:val="nil"/>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ff"/>
                <w:rtl w:val="0"/>
              </w:rPr>
              <w:t xml:space="preserve">MPR6</w:t>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£22,</w:t>
            </w:r>
            <w:r w:rsidDel="00000000" w:rsidR="00000000" w:rsidRPr="00000000">
              <w:rPr>
                <w:rtl w:val="0"/>
              </w:rPr>
              <w:t xml:space="preserve">467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£24,</w:t>
            </w:r>
            <w:r w:rsidDel="00000000" w:rsidR="00000000" w:rsidRPr="00000000">
              <w:rPr>
                <w:rtl w:val="0"/>
              </w:rPr>
              <w:t xml:space="preserve">243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£2</w:t>
            </w:r>
            <w:r w:rsidDel="00000000" w:rsidR="00000000" w:rsidRPr="00000000">
              <w:rPr>
                <w:rtl w:val="0"/>
              </w:rPr>
              <w:t xml:space="preserve">6,192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£2</w:t>
            </w:r>
            <w:r w:rsidDel="00000000" w:rsidR="00000000" w:rsidRPr="00000000">
              <w:rPr>
                <w:rtl w:val="0"/>
              </w:rPr>
              <w:t xml:space="preserve">8,207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£30,</w:t>
            </w:r>
            <w:r w:rsidDel="00000000" w:rsidR="00000000" w:rsidRPr="00000000">
              <w:rPr>
                <w:rtl w:val="0"/>
              </w:rPr>
              <w:t xml:space="preserve">430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rtl w:val="0"/>
              </w:rPr>
              <w:t xml:space="preserve">£3</w:t>
            </w:r>
            <w:r w:rsidDel="00000000" w:rsidR="00000000" w:rsidRPr="00000000">
              <w:rPr>
                <w:rtl w:val="0"/>
              </w:rPr>
              <w:t xml:space="preserve">3,160</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b w:val="1"/>
          <w:sz w:val="24"/>
          <w:szCs w:val="24"/>
          <w:rtl w:val="0"/>
        </w:rPr>
        <w:t xml:space="preserve">Starting salaries</w:t>
      </w:r>
    </w:p>
    <w:p w:rsidR="00000000" w:rsidDel="00000000" w:rsidP="00000000" w:rsidRDefault="00000000" w:rsidRPr="00000000">
      <w:pPr>
        <w:keepNext w:val="0"/>
        <w:keepLines w:val="0"/>
        <w:widowControl w:val="0"/>
        <w:spacing w:after="0" w:before="0" w:line="240" w:lineRule="auto"/>
        <w:ind w:left="1843"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salary on the upper pay range.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Pay progression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All pay progression is based on an individual teacher’s performance.  In almost all cases this will be based on the outcome of the appraisal process which will consider whether you have met or exceeded your objectives and/or the teachers’ standards.  We will award a higher level of pay progression to those teachers that exceed their objectives and the Teachers’ Standards, which will be appropriate to their role and the context of the school.  A lower level of pay progression will be awarded to those who meet their objectives and the Teachers’ Standards.  We will ensure all teachers know what is expected of them during the appraisal period and provide regular feedback.</w:t>
      </w:r>
    </w:p>
    <w:sectPr>
      <w:footerReference r:id="rId6" w:type="default"/>
      <w:pgSz w:h="16838" w:w="11906"/>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13"/>
        <w:tab w:val="right" w:pos="9026"/>
      </w:tabs>
      <w:spacing w:after="567" w:before="0" w:line="240" w:lineRule="auto"/>
      <w:ind w:left="0" w:right="0" w:firstLine="0"/>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