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B31B1B">
        <w:rPr>
          <w:rFonts w:ascii="Arial" w:hAnsi="Arial" w:cs="Arial"/>
          <w:b/>
          <w:sz w:val="24"/>
          <w:szCs w:val="24"/>
        </w:rPr>
        <w:t>Funding Analyst</w:t>
      </w:r>
      <w:r w:rsidR="0048182E">
        <w:rPr>
          <w:rFonts w:ascii="Arial" w:hAnsi="Arial" w:cs="Arial"/>
          <w:b/>
          <w:sz w:val="24"/>
          <w:szCs w:val="24"/>
        </w:rPr>
        <w:t xml:space="preserve"> (Fixed Term Contract – 2 Years)</w:t>
      </w:r>
      <w:bookmarkStart w:id="0" w:name="_GoBack"/>
      <w:bookmarkEnd w:id="0"/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  <w:t>SC</w:t>
      </w:r>
      <w:r w:rsidR="001A6287">
        <w:rPr>
          <w:rFonts w:ascii="Arial" w:hAnsi="Arial" w:cs="Arial"/>
          <w:b/>
          <w:sz w:val="24"/>
          <w:szCs w:val="24"/>
        </w:rPr>
        <w:t>6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B31B1B">
        <w:rPr>
          <w:rFonts w:ascii="Arial" w:hAnsi="Arial" w:cs="Arial"/>
          <w:b/>
          <w:sz w:val="24"/>
          <w:szCs w:val="24"/>
        </w:rPr>
        <w:t>Improvement Advisor, Policy and Engagement Team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B31B1B">
        <w:rPr>
          <w:rFonts w:ascii="Arial" w:hAnsi="Arial" w:cs="Arial"/>
          <w:sz w:val="24"/>
          <w:szCs w:val="24"/>
        </w:rPr>
        <w:t>Improvement Advisor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1</w:t>
      </w:r>
      <w:r w:rsidR="00C755F3" w:rsidRPr="00B1256F">
        <w:rPr>
          <w:rFonts w:ascii="Arial" w:hAnsi="Arial" w:cs="Arial"/>
          <w:sz w:val="24"/>
          <w:szCs w:val="24"/>
        </w:rPr>
        <w:t xml:space="preserve">         </w:t>
      </w:r>
      <w:r w:rsidR="00B47529">
        <w:rPr>
          <w:rFonts w:ascii="Arial" w:hAnsi="Arial" w:cs="Arial"/>
          <w:sz w:val="24"/>
          <w:szCs w:val="24"/>
        </w:rPr>
        <w:t>GENERAL DUTIES</w:t>
      </w:r>
      <w:r w:rsidRPr="00B1256F">
        <w:rPr>
          <w:rFonts w:ascii="Arial" w:hAnsi="Arial" w:cs="Arial"/>
          <w:sz w:val="24"/>
          <w:szCs w:val="24"/>
        </w:rPr>
        <w:tab/>
      </w:r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C66267" w:rsidRPr="008403E1">
        <w:rPr>
          <w:rFonts w:ascii="Arial" w:hAnsi="Arial" w:cs="Arial"/>
          <w:sz w:val="24"/>
          <w:szCs w:val="24"/>
        </w:rPr>
        <w:t>nsure compliance with the Data Protection Act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F42020" w:rsidRPr="00B1256F" w:rsidRDefault="004A2FDC" w:rsidP="00F4202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4A2FDC" w:rsidRDefault="004A2FDC" w:rsidP="005D0697">
      <w:pPr>
        <w:rPr>
          <w:rFonts w:ascii="Arial" w:hAnsi="Arial" w:cs="Arial"/>
          <w:b/>
          <w:sz w:val="24"/>
          <w:szCs w:val="24"/>
        </w:rPr>
      </w:pPr>
    </w:p>
    <w:p w:rsidR="004A2FDC" w:rsidRDefault="00A30D12" w:rsidP="004A2FDC">
      <w:pPr>
        <w:ind w:left="720" w:hanging="72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B1256F">
        <w:rPr>
          <w:rFonts w:ascii="Arial" w:hAnsi="Arial" w:cs="Arial"/>
          <w:b/>
          <w:sz w:val="24"/>
          <w:szCs w:val="24"/>
        </w:rPr>
        <w:tab/>
      </w:r>
      <w:r w:rsidR="004A2FDC">
        <w:rPr>
          <w:rFonts w:ascii="Arial" w:hAnsi="Arial" w:cs="Arial"/>
          <w:b/>
          <w:sz w:val="24"/>
          <w:szCs w:val="24"/>
        </w:rPr>
        <w:t>ROLE SPECIFIC DUTIES</w:t>
      </w:r>
    </w:p>
    <w:p w:rsidR="005D0697" w:rsidRDefault="005D0697" w:rsidP="005D0697">
      <w:pPr>
        <w:rPr>
          <w:rFonts w:ascii="Arial" w:hAnsi="Arial"/>
          <w:sz w:val="24"/>
        </w:rPr>
      </w:pPr>
    </w:p>
    <w:p w:rsidR="005D0697" w:rsidRPr="00741418" w:rsidRDefault="005D0697" w:rsidP="00741418">
      <w:pPr>
        <w:pStyle w:val="ListParagraph"/>
        <w:numPr>
          <w:ilvl w:val="1"/>
          <w:numId w:val="33"/>
        </w:numPr>
        <w:ind w:left="709" w:hanging="709"/>
        <w:rPr>
          <w:rFonts w:ascii="Arial" w:hAnsi="Arial"/>
          <w:sz w:val="24"/>
        </w:rPr>
      </w:pPr>
      <w:r w:rsidRPr="00741418">
        <w:rPr>
          <w:rFonts w:ascii="Arial" w:hAnsi="Arial"/>
          <w:sz w:val="24"/>
        </w:rPr>
        <w:t>To research and assess potential opportunities to obtain funding from government and other grant making organisations to help develop services and drive efficiencies in line with the Community Safety Strategy.</w:t>
      </w:r>
    </w:p>
    <w:p w:rsidR="005D0697" w:rsidRPr="005D6795" w:rsidRDefault="005D0697" w:rsidP="005D0697">
      <w:pPr>
        <w:rPr>
          <w:rFonts w:ascii="Arial" w:hAnsi="Arial"/>
          <w:sz w:val="24"/>
        </w:rPr>
      </w:pPr>
    </w:p>
    <w:p w:rsidR="005D0697" w:rsidRPr="00741418" w:rsidRDefault="005D0697" w:rsidP="00741418">
      <w:pPr>
        <w:pStyle w:val="ListParagraph"/>
        <w:numPr>
          <w:ilvl w:val="1"/>
          <w:numId w:val="33"/>
        </w:numPr>
        <w:ind w:left="709" w:hanging="709"/>
        <w:rPr>
          <w:rFonts w:ascii="Arial" w:hAnsi="Arial"/>
          <w:sz w:val="24"/>
        </w:rPr>
      </w:pPr>
      <w:r w:rsidRPr="00741418">
        <w:rPr>
          <w:rFonts w:ascii="Arial" w:hAnsi="Arial"/>
          <w:sz w:val="24"/>
        </w:rPr>
        <w:t xml:space="preserve">To develop and deliver the fundraising approach to ensure we maximise appropriate funding opportunities. 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5D0697" w:rsidRDefault="005D0697" w:rsidP="00741418">
      <w:pPr>
        <w:numPr>
          <w:ilvl w:val="1"/>
          <w:numId w:val="33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develop</w:t>
      </w:r>
      <w:r w:rsidRPr="005D6795">
        <w:rPr>
          <w:rFonts w:ascii="Arial" w:hAnsi="Arial"/>
          <w:sz w:val="24"/>
        </w:rPr>
        <w:t xml:space="preserve">, edit and </w:t>
      </w:r>
      <w:r>
        <w:rPr>
          <w:rFonts w:ascii="Arial" w:hAnsi="Arial"/>
          <w:sz w:val="24"/>
        </w:rPr>
        <w:t>submit</w:t>
      </w:r>
      <w:r w:rsidRPr="005D6795">
        <w:rPr>
          <w:rFonts w:ascii="Arial" w:hAnsi="Arial"/>
          <w:sz w:val="24"/>
        </w:rPr>
        <w:t xml:space="preserve"> high quality bid docume</w:t>
      </w:r>
      <w:r>
        <w:rPr>
          <w:rFonts w:ascii="Arial" w:hAnsi="Arial"/>
          <w:sz w:val="24"/>
        </w:rPr>
        <w:t>nts and funding applications that</w:t>
      </w:r>
      <w:r w:rsidRPr="005D6795">
        <w:rPr>
          <w:rFonts w:ascii="Arial" w:hAnsi="Arial"/>
          <w:sz w:val="24"/>
        </w:rPr>
        <w:t xml:space="preserve"> are, compelling, accurate</w:t>
      </w:r>
      <w:r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successful</w:t>
      </w:r>
      <w:proofErr w:type="gramEnd"/>
      <w:r w:rsidRPr="005D6795">
        <w:rPr>
          <w:rFonts w:ascii="Arial" w:hAnsi="Arial"/>
          <w:sz w:val="24"/>
        </w:rPr>
        <w:t xml:space="preserve"> and submitted in line with deadlines</w:t>
      </w:r>
      <w:r>
        <w:rPr>
          <w:rFonts w:ascii="Arial" w:hAnsi="Arial"/>
          <w:sz w:val="24"/>
        </w:rPr>
        <w:t>.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5D0697" w:rsidRPr="003E550F" w:rsidRDefault="00A906ED" w:rsidP="00741418">
      <w:pPr>
        <w:numPr>
          <w:ilvl w:val="1"/>
          <w:numId w:val="33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prepare bids for funding demonstrating</w:t>
      </w:r>
      <w:r w:rsidR="005D0697" w:rsidRPr="003E550F">
        <w:rPr>
          <w:rFonts w:ascii="Arial" w:hAnsi="Arial"/>
          <w:sz w:val="24"/>
        </w:rPr>
        <w:t xml:space="preserve"> value for money (in terms of efficiency, effectiveness and economy), in line with Treasury guidelines.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5D0697" w:rsidRPr="00C7743B" w:rsidRDefault="005D0697" w:rsidP="00741418">
      <w:pPr>
        <w:numPr>
          <w:ilvl w:val="1"/>
          <w:numId w:val="33"/>
        </w:numPr>
        <w:ind w:left="709" w:hanging="709"/>
        <w:rPr>
          <w:rFonts w:ascii="Arial" w:hAnsi="Arial"/>
          <w:sz w:val="24"/>
        </w:rPr>
      </w:pPr>
      <w:r w:rsidRPr="00C7743B">
        <w:rPr>
          <w:rFonts w:ascii="Arial" w:hAnsi="Arial"/>
          <w:sz w:val="24"/>
        </w:rPr>
        <w:t xml:space="preserve">To </w:t>
      </w:r>
      <w:r w:rsidR="00A906ED">
        <w:rPr>
          <w:rFonts w:ascii="Arial" w:hAnsi="Arial"/>
          <w:sz w:val="24"/>
        </w:rPr>
        <w:t>support the</w:t>
      </w:r>
      <w:r>
        <w:rPr>
          <w:rFonts w:ascii="Arial" w:hAnsi="Arial"/>
          <w:sz w:val="24"/>
        </w:rPr>
        <w:t xml:space="preserve"> </w:t>
      </w:r>
      <w:r w:rsidRPr="00C7743B">
        <w:rPr>
          <w:rFonts w:ascii="Arial" w:hAnsi="Arial"/>
          <w:sz w:val="24"/>
        </w:rPr>
        <w:t>develop</w:t>
      </w:r>
      <w:r w:rsidR="00A906ED">
        <w:rPr>
          <w:rFonts w:ascii="Arial" w:hAnsi="Arial"/>
          <w:sz w:val="24"/>
        </w:rPr>
        <w:t>ment of</w:t>
      </w:r>
      <w:r w:rsidRPr="00C7743B">
        <w:rPr>
          <w:rFonts w:ascii="Arial" w:hAnsi="Arial"/>
          <w:sz w:val="24"/>
        </w:rPr>
        <w:t xml:space="preserve"> partnerships with stakeholders and providers to support collaborative working to maximise funding opportunities and project delivery.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5D0697" w:rsidRDefault="005D0697" w:rsidP="00741418">
      <w:pPr>
        <w:numPr>
          <w:ilvl w:val="1"/>
          <w:numId w:val="33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develop </w:t>
      </w:r>
      <w:r w:rsidRPr="005D6795">
        <w:rPr>
          <w:rFonts w:ascii="Arial" w:hAnsi="Arial"/>
          <w:sz w:val="24"/>
        </w:rPr>
        <w:t>and maintain a bid library resource, including maintain a matrix of pipeline, current and prospective bids and a database of written templates and bid responses</w:t>
      </w:r>
      <w:r>
        <w:rPr>
          <w:rFonts w:ascii="Arial" w:hAnsi="Arial"/>
          <w:sz w:val="24"/>
        </w:rPr>
        <w:t>.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5D0697" w:rsidRDefault="00A906ED" w:rsidP="00741418">
      <w:pPr>
        <w:numPr>
          <w:ilvl w:val="1"/>
          <w:numId w:val="33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prepare</w:t>
      </w:r>
      <w:r w:rsidR="005D0697">
        <w:rPr>
          <w:rFonts w:ascii="Arial" w:hAnsi="Arial"/>
          <w:sz w:val="24"/>
        </w:rPr>
        <w:t xml:space="preserve"> reports and p</w:t>
      </w:r>
      <w:r w:rsidR="005D0697" w:rsidRPr="005622C5">
        <w:rPr>
          <w:rFonts w:ascii="Arial" w:hAnsi="Arial"/>
          <w:sz w:val="24"/>
        </w:rPr>
        <w:t>resent funding opportunities to</w:t>
      </w:r>
      <w:r w:rsidR="005D0697">
        <w:rPr>
          <w:rFonts w:ascii="Arial" w:hAnsi="Arial"/>
          <w:sz w:val="24"/>
        </w:rPr>
        <w:t xml:space="preserve"> the</w:t>
      </w:r>
      <w:r w:rsidR="005D0697" w:rsidRPr="005622C5">
        <w:rPr>
          <w:rFonts w:ascii="Arial" w:hAnsi="Arial"/>
          <w:sz w:val="24"/>
        </w:rPr>
        <w:t xml:space="preserve"> leadership team securing support for funding streams that will enhance and </w:t>
      </w:r>
      <w:r w:rsidR="005D0697">
        <w:rPr>
          <w:rFonts w:ascii="Arial" w:hAnsi="Arial"/>
          <w:sz w:val="24"/>
        </w:rPr>
        <w:t xml:space="preserve">\ </w:t>
      </w:r>
      <w:r w:rsidR="005D0697" w:rsidRPr="005622C5">
        <w:rPr>
          <w:rFonts w:ascii="Arial" w:hAnsi="Arial"/>
          <w:sz w:val="24"/>
        </w:rPr>
        <w:t>or develop our services.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5D0697" w:rsidRDefault="00741418" w:rsidP="00741418">
      <w:p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2.8</w:t>
      </w:r>
      <w:r>
        <w:rPr>
          <w:rFonts w:ascii="Arial" w:hAnsi="Arial"/>
          <w:sz w:val="24"/>
        </w:rPr>
        <w:tab/>
      </w:r>
      <w:r w:rsidR="005D0697">
        <w:rPr>
          <w:rFonts w:ascii="Arial" w:hAnsi="Arial"/>
          <w:sz w:val="24"/>
        </w:rPr>
        <w:t>To monitor and report on delivery of funded projects using sound project management approach to ensure progress in line with project plans and provide clarity on benefits realisation.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5D0697" w:rsidRPr="00741418" w:rsidRDefault="005D0697" w:rsidP="00741418">
      <w:pPr>
        <w:pStyle w:val="ListParagraph"/>
        <w:numPr>
          <w:ilvl w:val="1"/>
          <w:numId w:val="34"/>
        </w:numPr>
        <w:tabs>
          <w:tab w:val="left" w:pos="709"/>
        </w:tabs>
        <w:ind w:left="709" w:hanging="709"/>
        <w:rPr>
          <w:rFonts w:ascii="Arial" w:hAnsi="Arial"/>
          <w:sz w:val="24"/>
        </w:rPr>
      </w:pPr>
      <w:r w:rsidRPr="00741418">
        <w:rPr>
          <w:rFonts w:ascii="Arial" w:hAnsi="Arial"/>
          <w:sz w:val="24"/>
        </w:rPr>
        <w:t>To meet the funding organisations’ reporting requirements and ensure reports are submitted according to agreed timetables.</w:t>
      </w:r>
    </w:p>
    <w:p w:rsidR="005D0697" w:rsidRDefault="005D0697" w:rsidP="005D0697">
      <w:pPr>
        <w:rPr>
          <w:rFonts w:ascii="Arial" w:hAnsi="Arial"/>
          <w:sz w:val="24"/>
        </w:rPr>
      </w:pPr>
    </w:p>
    <w:p w:rsidR="005D0697" w:rsidRDefault="005D0697" w:rsidP="00741418">
      <w:pPr>
        <w:numPr>
          <w:ilvl w:val="1"/>
          <w:numId w:val="34"/>
        </w:numPr>
        <w:rPr>
          <w:rFonts w:ascii="Arial" w:hAnsi="Arial"/>
          <w:sz w:val="24"/>
        </w:rPr>
      </w:pPr>
      <w:r w:rsidRPr="00D94E10">
        <w:rPr>
          <w:rFonts w:ascii="Arial" w:hAnsi="Arial"/>
          <w:sz w:val="24"/>
        </w:rPr>
        <w:t xml:space="preserve">To contribute to meeting the Service’s goal and priorities </w:t>
      </w:r>
    </w:p>
    <w:p w:rsidR="005D0697" w:rsidRDefault="005D0697" w:rsidP="005D0697">
      <w:pPr>
        <w:pStyle w:val="ListParagraph"/>
        <w:rPr>
          <w:rFonts w:ascii="Arial" w:hAnsi="Arial"/>
          <w:sz w:val="24"/>
        </w:rPr>
      </w:pPr>
    </w:p>
    <w:p w:rsidR="008403E1" w:rsidRPr="00A906ED" w:rsidRDefault="005D0697" w:rsidP="00A906ED">
      <w:pPr>
        <w:numPr>
          <w:ilvl w:val="1"/>
          <w:numId w:val="34"/>
        </w:numPr>
        <w:ind w:left="709" w:hanging="709"/>
        <w:rPr>
          <w:rFonts w:ascii="Arial" w:hAnsi="Arial"/>
          <w:sz w:val="24"/>
          <w:szCs w:val="24"/>
        </w:rPr>
      </w:pPr>
      <w:r w:rsidRPr="00D94E10">
        <w:rPr>
          <w:rFonts w:ascii="Arial" w:hAnsi="Arial"/>
          <w:sz w:val="24"/>
        </w:rPr>
        <w:t xml:space="preserve">To support </w:t>
      </w:r>
      <w:r>
        <w:rPr>
          <w:rFonts w:ascii="Arial" w:hAnsi="Arial"/>
          <w:sz w:val="24"/>
        </w:rPr>
        <w:t>the wider team’s work</w:t>
      </w:r>
      <w:r w:rsidRPr="00D94E10">
        <w:rPr>
          <w:rFonts w:ascii="Arial" w:hAnsi="Arial"/>
          <w:sz w:val="24"/>
        </w:rPr>
        <w:t xml:space="preserve"> in relation to strategic planning, </w:t>
      </w:r>
      <w:r>
        <w:rPr>
          <w:rFonts w:ascii="Arial" w:hAnsi="Arial"/>
          <w:sz w:val="24"/>
        </w:rPr>
        <w:t xml:space="preserve">policy, engagement and  </w:t>
      </w:r>
      <w:r w:rsidRPr="00D94E10">
        <w:rPr>
          <w:rFonts w:ascii="Arial" w:hAnsi="Arial"/>
          <w:sz w:val="24"/>
        </w:rPr>
        <w:t xml:space="preserve"> communications activity.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8403E1" w:rsidRDefault="005D0697" w:rsidP="005D0697">
      <w:pPr>
        <w:pStyle w:val="ListParagraph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 w:rsidR="008403E1" w:rsidRPr="008403E1">
        <w:rPr>
          <w:rFonts w:ascii="Arial" w:hAnsi="Arial" w:cs="Arial"/>
          <w:b/>
          <w:sz w:val="24"/>
          <w:szCs w:val="24"/>
        </w:rPr>
        <w:t>H</w:t>
      </w:r>
      <w:r w:rsidR="00011CB0" w:rsidRPr="008403E1">
        <w:rPr>
          <w:rFonts w:ascii="Arial" w:hAnsi="Arial" w:cs="Arial"/>
          <w:b/>
          <w:sz w:val="24"/>
          <w:szCs w:val="24"/>
        </w:rPr>
        <w:t>E</w:t>
      </w:r>
      <w:r w:rsidR="004A2FDC" w:rsidRPr="008403E1">
        <w:rPr>
          <w:rFonts w:ascii="Arial" w:hAnsi="Arial" w:cs="Arial"/>
          <w:b/>
          <w:sz w:val="24"/>
          <w:szCs w:val="24"/>
        </w:rPr>
        <w:t>ALTH AND SAFETY (GENERAL POLICY</w:t>
      </w:r>
      <w:r w:rsidR="008403E1" w:rsidRPr="008403E1">
        <w:rPr>
          <w:rFonts w:ascii="Arial" w:hAnsi="Arial" w:cs="Arial"/>
          <w:b/>
          <w:sz w:val="24"/>
          <w:szCs w:val="24"/>
        </w:rPr>
        <w:t>)</w:t>
      </w:r>
    </w:p>
    <w:p w:rsidR="00B1256F" w:rsidRPr="00B1256F" w:rsidRDefault="00B1256F" w:rsidP="00B1256F">
      <w:pPr>
        <w:pStyle w:val="ListParagraph"/>
        <w:rPr>
          <w:rFonts w:ascii="Arial" w:hAnsi="Arial" w:cs="Arial"/>
          <w:sz w:val="24"/>
          <w:szCs w:val="24"/>
        </w:rPr>
      </w:pPr>
    </w:p>
    <w:p w:rsidR="008403E1" w:rsidRDefault="005D0697" w:rsidP="005D0697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8403E1" w:rsidRPr="008403E1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1CB0" w:rsidRPr="008403E1" w:rsidRDefault="005D0697" w:rsidP="005D0697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="00011CB0" w:rsidRPr="008403E1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</w:p>
    <w:p w:rsidR="00011CB0" w:rsidRPr="00B1256F" w:rsidRDefault="00B1256F" w:rsidP="00B1256F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205730" w:rsidRPr="00B1256F">
        <w:rPr>
          <w:rFonts w:ascii="Arial" w:hAnsi="Arial" w:cs="Arial"/>
          <w:sz w:val="24"/>
          <w:szCs w:val="24"/>
        </w:rPr>
        <w:t>ooperate</w:t>
      </w:r>
      <w:proofErr w:type="gramEnd"/>
      <w:r w:rsidR="00011CB0" w:rsidRPr="00B1256F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>
        <w:rPr>
          <w:rFonts w:ascii="Arial" w:hAnsi="Arial" w:cs="Arial"/>
          <w:sz w:val="24"/>
          <w:szCs w:val="24"/>
        </w:rPr>
        <w:t xml:space="preserve"> </w:t>
      </w:r>
      <w:r w:rsidR="00011CB0" w:rsidRPr="00B1256F">
        <w:rPr>
          <w:rFonts w:ascii="Arial" w:hAnsi="Arial" w:cs="Arial"/>
          <w:sz w:val="24"/>
          <w:szCs w:val="24"/>
        </w:rPr>
        <w:t>upon them.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016CE3" w:rsidRDefault="005D0697" w:rsidP="005D0697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011CB0" w:rsidRPr="00B1256F">
        <w:rPr>
          <w:rFonts w:ascii="Arial" w:hAnsi="Arial" w:cs="Arial"/>
          <w:sz w:val="24"/>
          <w:szCs w:val="24"/>
        </w:rPr>
        <w:t xml:space="preserve"> </w:t>
      </w:r>
      <w:r w:rsidR="00011CB0" w:rsidRPr="00B1256F">
        <w:rPr>
          <w:rFonts w:ascii="Arial" w:hAnsi="Arial" w:cs="Arial"/>
          <w:sz w:val="24"/>
          <w:szCs w:val="24"/>
        </w:rPr>
        <w:tab/>
        <w:t xml:space="preserve">Work with machinery, equipment and substances in accordance with information and </w:t>
      </w:r>
      <w:r w:rsidR="00016CE3">
        <w:rPr>
          <w:rFonts w:ascii="Arial" w:hAnsi="Arial" w:cs="Arial"/>
          <w:sz w:val="24"/>
          <w:szCs w:val="24"/>
        </w:rPr>
        <w:t xml:space="preserve">              </w:t>
      </w:r>
      <w:r w:rsidR="00011CB0" w:rsidRPr="00B1256F">
        <w:rPr>
          <w:rFonts w:ascii="Arial" w:hAnsi="Arial" w:cs="Arial"/>
          <w:sz w:val="24"/>
          <w:szCs w:val="24"/>
        </w:rPr>
        <w:t>training</w:t>
      </w:r>
      <w:r w:rsidR="00016CE3">
        <w:rPr>
          <w:rFonts w:ascii="Arial" w:hAnsi="Arial" w:cs="Arial"/>
          <w:sz w:val="24"/>
          <w:szCs w:val="24"/>
        </w:rPr>
        <w:t xml:space="preserve"> </w:t>
      </w:r>
      <w:r w:rsidR="00011CB0" w:rsidRPr="00016CE3">
        <w:rPr>
          <w:rFonts w:ascii="Arial" w:hAnsi="Arial" w:cs="Arial"/>
          <w:sz w:val="24"/>
          <w:szCs w:val="24"/>
        </w:rPr>
        <w:t>provided.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B1256F" w:rsidRDefault="005D0697" w:rsidP="005D0697">
      <w:pPr>
        <w:pStyle w:val="ListParagraph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 w:rsidR="00011CB0" w:rsidRPr="00B1256F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016CE3" w:rsidRDefault="005D0697" w:rsidP="005D0697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</w:r>
      <w:r w:rsidR="00011CB0" w:rsidRPr="00B1256F">
        <w:rPr>
          <w:rFonts w:ascii="Arial" w:hAnsi="Arial" w:cs="Arial"/>
          <w:sz w:val="24"/>
          <w:szCs w:val="24"/>
        </w:rPr>
        <w:t xml:space="preserve">Report any hazardous defects in plant and equipment, or shortcomings in the existing safety </w:t>
      </w:r>
      <w:r w:rsidR="00011CB0" w:rsidRPr="00016CE3">
        <w:rPr>
          <w:rFonts w:ascii="Arial" w:hAnsi="Arial" w:cs="Arial"/>
          <w:sz w:val="24"/>
          <w:szCs w:val="24"/>
        </w:rPr>
        <w:t>arrangements, to a responsible person without delay.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B38EC" w:rsidRPr="00B1256F" w:rsidRDefault="002B38EC" w:rsidP="00477412">
      <w:pPr>
        <w:spacing w:line="240" w:lineRule="exact"/>
        <w:rPr>
          <w:rFonts w:ascii="Arial" w:hAnsi="Arial" w:cs="Arial"/>
          <w:sz w:val="24"/>
          <w:szCs w:val="24"/>
        </w:rPr>
      </w:pPr>
    </w:p>
    <w:p w:rsidR="00C755F3" w:rsidRPr="00B1256F" w:rsidRDefault="005D0697" w:rsidP="005D069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01B28" w:rsidRPr="00B1256F">
        <w:rPr>
          <w:rFonts w:ascii="Arial" w:hAnsi="Arial" w:cs="Arial"/>
          <w:b/>
          <w:sz w:val="24"/>
          <w:szCs w:val="24"/>
        </w:rPr>
        <w:tab/>
      </w:r>
      <w:r w:rsidR="00C755F3" w:rsidRPr="00B1256F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EE164C" w:rsidRPr="00B1256F" w:rsidRDefault="00EE164C" w:rsidP="00EE164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5D0697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EE164C" w:rsidRPr="00B1256F">
        <w:rPr>
          <w:rFonts w:ascii="Arial" w:hAnsi="Arial" w:cs="Arial"/>
          <w:sz w:val="24"/>
          <w:szCs w:val="24"/>
        </w:rPr>
        <w:tab/>
        <w:t>To ensure an understanding and commitment to equality</w:t>
      </w:r>
      <w:r w:rsidR="004A2FDC">
        <w:rPr>
          <w:rFonts w:ascii="Arial" w:hAnsi="Arial" w:cs="Arial"/>
          <w:sz w:val="24"/>
          <w:szCs w:val="24"/>
        </w:rPr>
        <w:t xml:space="preserve"> and diversity </w:t>
      </w:r>
      <w:r w:rsidR="00EE164C" w:rsidRPr="00B1256F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5D0697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EE164C" w:rsidRPr="00B1256F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5D0697" w:rsidP="00EE164C">
      <w:p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EE164C" w:rsidRPr="00B1256F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B1256F" w:rsidRDefault="00CD7488" w:rsidP="00477412">
      <w:pPr>
        <w:ind w:left="720"/>
        <w:rPr>
          <w:rFonts w:ascii="Arial" w:hAnsi="Arial" w:cs="Arial"/>
          <w:b/>
          <w:sz w:val="24"/>
          <w:szCs w:val="24"/>
        </w:rPr>
      </w:pPr>
    </w:p>
    <w:p w:rsidR="00477412" w:rsidRPr="005D0697" w:rsidRDefault="00477412" w:rsidP="005D0697">
      <w:pPr>
        <w:pStyle w:val="ListParagraph"/>
        <w:numPr>
          <w:ilvl w:val="0"/>
          <w:numId w:val="28"/>
        </w:numPr>
        <w:spacing w:line="240" w:lineRule="exact"/>
        <w:ind w:hanging="720"/>
        <w:rPr>
          <w:rFonts w:ascii="Arial" w:hAnsi="Arial" w:cs="Arial"/>
          <w:sz w:val="24"/>
          <w:szCs w:val="24"/>
        </w:rPr>
      </w:pPr>
      <w:r w:rsidRPr="005D0697">
        <w:rPr>
          <w:rFonts w:ascii="Arial" w:hAnsi="Arial" w:cs="Arial"/>
          <w:b/>
          <w:sz w:val="24"/>
          <w:szCs w:val="24"/>
        </w:rPr>
        <w:t>S</w:t>
      </w:r>
      <w:r w:rsidR="00C755F3" w:rsidRPr="005D0697">
        <w:rPr>
          <w:rFonts w:ascii="Arial" w:hAnsi="Arial" w:cs="Arial"/>
          <w:b/>
          <w:sz w:val="24"/>
          <w:szCs w:val="24"/>
        </w:rPr>
        <w:t>AFEGUARDING</w:t>
      </w:r>
      <w:r w:rsidRPr="005D0697">
        <w:rPr>
          <w:rFonts w:ascii="Arial" w:hAnsi="Arial" w:cs="Arial"/>
          <w:b/>
          <w:sz w:val="24"/>
          <w:szCs w:val="24"/>
        </w:rPr>
        <w:t xml:space="preserve"> </w:t>
      </w:r>
      <w:r w:rsidRPr="005D0697">
        <w:rPr>
          <w:rFonts w:ascii="Arial" w:hAnsi="Arial" w:cs="Arial"/>
          <w:sz w:val="24"/>
          <w:szCs w:val="24"/>
        </w:rPr>
        <w:br/>
      </w:r>
    </w:p>
    <w:p w:rsidR="0040692C" w:rsidRPr="005D0697" w:rsidRDefault="0040692C" w:rsidP="00741418">
      <w:pPr>
        <w:pStyle w:val="ListParagraph"/>
        <w:numPr>
          <w:ilvl w:val="1"/>
          <w:numId w:val="30"/>
        </w:numPr>
        <w:tabs>
          <w:tab w:val="left" w:pos="709"/>
        </w:tabs>
        <w:spacing w:line="240" w:lineRule="exact"/>
        <w:ind w:hanging="1080"/>
        <w:rPr>
          <w:rFonts w:ascii="Arial" w:hAnsi="Arial" w:cs="Arial"/>
          <w:sz w:val="24"/>
          <w:szCs w:val="24"/>
        </w:rPr>
      </w:pPr>
      <w:r w:rsidRPr="005D0697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B1256F" w:rsidRDefault="00CD7488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b/>
          <w:sz w:val="24"/>
          <w:szCs w:val="24"/>
          <w:lang w:eastAsia="en-US"/>
        </w:rPr>
      </w:pPr>
      <w:r w:rsidRPr="00B1256F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B1256F" w:rsidRDefault="00546595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  <w:r w:rsidRPr="00B1256F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B1256F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BB" w:rsidRDefault="00413CBB">
      <w:r>
        <w:separator/>
      </w:r>
    </w:p>
  </w:endnote>
  <w:endnote w:type="continuationSeparator" w:id="0">
    <w:p w:rsidR="00413CBB" w:rsidRDefault="0041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48182E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5D0697">
      <w:rPr>
        <w:rFonts w:ascii="Arial" w:hAnsi="Arial" w:cs="Arial"/>
      </w:rPr>
      <w:t>Feb</w:t>
    </w:r>
    <w:r w:rsidR="004A2FDC">
      <w:rPr>
        <w:rFonts w:ascii="Arial" w:hAnsi="Arial" w:cs="Arial"/>
      </w:rPr>
      <w:t xml:space="preserve">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1B" w:rsidRDefault="00B31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BB" w:rsidRDefault="00413CBB">
      <w:r>
        <w:separator/>
      </w:r>
    </w:p>
  </w:footnote>
  <w:footnote w:type="continuationSeparator" w:id="0">
    <w:p w:rsidR="00413CBB" w:rsidRDefault="0041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890DA0" w:rsidP="00890DA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1B" w:rsidRDefault="00890DA0" w:rsidP="00890DA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3D7D7C" w:rsidRPr="007A079E" w:rsidRDefault="007A079E" w:rsidP="00B31B1B">
    <w:pPr>
      <w:pStyle w:val="Header"/>
      <w:jc w:val="center"/>
      <w:rPr>
        <w:rFonts w:ascii="Arial" w:eastAsia="Arial Unicode MS" w:hAnsi="Arial" w:cs="Arial"/>
        <w:color w:val="000000"/>
      </w:rPr>
    </w:pPr>
    <w:r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890DA0">
      <w:rPr>
        <w:rFonts w:ascii="Arial Unicode MS" w:eastAsia="Arial Unicode MS" w:hAnsi="Arial Unicode MS" w:cs="Arial Unicode MS"/>
        <w:color w:val="000000"/>
        <w:sz w:val="17"/>
      </w:rPr>
      <w:tab/>
      <w:t>POL08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890DA0" w:rsidP="00890DA0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705468E"/>
    <w:multiLevelType w:val="multilevel"/>
    <w:tmpl w:val="00947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3D2BF6"/>
    <w:multiLevelType w:val="multilevel"/>
    <w:tmpl w:val="6C94E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05C29F6"/>
    <w:multiLevelType w:val="hybridMultilevel"/>
    <w:tmpl w:val="4E72ECBC"/>
    <w:lvl w:ilvl="0" w:tplc="17F44A5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4B55"/>
    <w:multiLevelType w:val="multilevel"/>
    <w:tmpl w:val="9B7447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15215A6"/>
    <w:multiLevelType w:val="multilevel"/>
    <w:tmpl w:val="53148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5807E50"/>
    <w:multiLevelType w:val="multilevel"/>
    <w:tmpl w:val="4CB2C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F4BC9"/>
    <w:multiLevelType w:val="multilevel"/>
    <w:tmpl w:val="69847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1"/>
  </w:num>
  <w:num w:numId="5">
    <w:abstractNumId w:val="22"/>
  </w:num>
  <w:num w:numId="6">
    <w:abstractNumId w:val="17"/>
  </w:num>
  <w:num w:numId="7">
    <w:abstractNumId w:val="29"/>
  </w:num>
  <w:num w:numId="8">
    <w:abstractNumId w:val="14"/>
  </w:num>
  <w:num w:numId="9">
    <w:abstractNumId w:val="30"/>
  </w:num>
  <w:num w:numId="10">
    <w:abstractNumId w:val="27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 w:numId="15">
    <w:abstractNumId w:val="23"/>
  </w:num>
  <w:num w:numId="16">
    <w:abstractNumId w:val="25"/>
  </w:num>
  <w:num w:numId="17">
    <w:abstractNumId w:val="15"/>
  </w:num>
  <w:num w:numId="18">
    <w:abstractNumId w:val="26"/>
  </w:num>
  <w:num w:numId="19">
    <w:abstractNumId w:val="16"/>
  </w:num>
  <w:num w:numId="20">
    <w:abstractNumId w:val="28"/>
  </w:num>
  <w:num w:numId="21">
    <w:abstractNumId w:val="26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1"/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"/>
  </w:num>
  <w:num w:numId="3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2"/>
    <w:rsid w:val="00011CB0"/>
    <w:rsid w:val="00016CE3"/>
    <w:rsid w:val="00032AD3"/>
    <w:rsid w:val="0003715E"/>
    <w:rsid w:val="000740F1"/>
    <w:rsid w:val="000D3A3A"/>
    <w:rsid w:val="000F44A0"/>
    <w:rsid w:val="00113F5C"/>
    <w:rsid w:val="00134F87"/>
    <w:rsid w:val="00136B3C"/>
    <w:rsid w:val="00161D12"/>
    <w:rsid w:val="0019732B"/>
    <w:rsid w:val="001A079D"/>
    <w:rsid w:val="001A6287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006D6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13CBB"/>
    <w:rsid w:val="00450F4D"/>
    <w:rsid w:val="00467F11"/>
    <w:rsid w:val="004749AB"/>
    <w:rsid w:val="00477412"/>
    <w:rsid w:val="0048182E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D0697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1418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90DA0"/>
    <w:rsid w:val="008A1659"/>
    <w:rsid w:val="008B15BA"/>
    <w:rsid w:val="008B3797"/>
    <w:rsid w:val="008D4E51"/>
    <w:rsid w:val="008D58B4"/>
    <w:rsid w:val="008F4863"/>
    <w:rsid w:val="00916B10"/>
    <w:rsid w:val="009172BB"/>
    <w:rsid w:val="009520A5"/>
    <w:rsid w:val="009545AC"/>
    <w:rsid w:val="00974D70"/>
    <w:rsid w:val="00993C9C"/>
    <w:rsid w:val="009B0899"/>
    <w:rsid w:val="009D0935"/>
    <w:rsid w:val="00A30D12"/>
    <w:rsid w:val="00A906ED"/>
    <w:rsid w:val="00A94E7F"/>
    <w:rsid w:val="00AB1C64"/>
    <w:rsid w:val="00AB49CF"/>
    <w:rsid w:val="00AE33F0"/>
    <w:rsid w:val="00B0139A"/>
    <w:rsid w:val="00B1256F"/>
    <w:rsid w:val="00B1516E"/>
    <w:rsid w:val="00B214A7"/>
    <w:rsid w:val="00B31B1B"/>
    <w:rsid w:val="00B46C08"/>
    <w:rsid w:val="00B47529"/>
    <w:rsid w:val="00BB3501"/>
    <w:rsid w:val="00BB48F3"/>
    <w:rsid w:val="00BE5A45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C72F-077E-4FC6-A589-2E1C45C8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ICT Department</cp:lastModifiedBy>
  <cp:revision>3</cp:revision>
  <cp:lastPrinted>2016-12-20T14:17:00Z</cp:lastPrinted>
  <dcterms:created xsi:type="dcterms:W3CDTF">2017-02-17T09:53:00Z</dcterms:created>
  <dcterms:modified xsi:type="dcterms:W3CDTF">2017-02-22T16:43:00Z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