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257" w:rsidRDefault="002D0257">
      <w:bookmarkStart w:id="0" w:name="_GoBack"/>
      <w:bookmarkEnd w:id="0"/>
    </w:p>
    <w:p w:rsidR="002D0257" w:rsidRDefault="000733C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Northumberland County Council </w:t>
      </w:r>
    </w:p>
    <w:p w:rsidR="002D0257" w:rsidRDefault="000733C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2D0257" w:rsidRDefault="002D0257">
      <w:pPr>
        <w:jc w:val="center"/>
        <w:rPr>
          <w:sz w:val="20"/>
          <w:szCs w:val="20"/>
        </w:rPr>
      </w:pPr>
    </w:p>
    <w:tbl>
      <w:tblPr>
        <w:tblStyle w:val="a"/>
        <w:tblW w:w="159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4560"/>
        <w:gridCol w:w="4830"/>
        <w:gridCol w:w="2265"/>
        <w:gridCol w:w="1725"/>
      </w:tblGrid>
      <w:tr w:rsidR="002D0257">
        <w:trPr>
          <w:trHeight w:val="260"/>
        </w:trPr>
        <w:tc>
          <w:tcPr>
            <w:tcW w:w="712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               </w:t>
            </w:r>
            <w:r>
              <w:rPr>
                <w:sz w:val="20"/>
                <w:szCs w:val="20"/>
              </w:rPr>
              <w:t>Nursery Assistant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Children’s Social Care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2D0257">
        <w:trPr>
          <w:trHeight w:val="380"/>
        </w:trPr>
        <w:tc>
          <w:tcPr>
            <w:tcW w:w="7124" w:type="dxa"/>
            <w:gridSpan w:val="3"/>
            <w:tcBorders>
              <w:right w:val="single" w:sz="4" w:space="0" w:color="000000"/>
            </w:tcBorders>
          </w:tcPr>
          <w:p w:rsidR="002D0257" w:rsidRDefault="000733C4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Band:                     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  </w:t>
            </w:r>
            <w:r>
              <w:rPr>
                <w:sz w:val="20"/>
                <w:szCs w:val="20"/>
              </w:rPr>
              <w:t>Children’s Centre</w:t>
            </w:r>
          </w:p>
        </w:tc>
        <w:tc>
          <w:tcPr>
            <w:tcW w:w="1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ref: 656</w:t>
            </w:r>
          </w:p>
          <w:p w:rsidR="002D0257" w:rsidRDefault="000733C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HRMS</w:t>
            </w:r>
            <w:proofErr w:type="spellEnd"/>
            <w:r>
              <w:rPr>
                <w:b/>
                <w:sz w:val="20"/>
                <w:szCs w:val="20"/>
              </w:rPr>
              <w:t xml:space="preserve"> ref:</w:t>
            </w:r>
          </w:p>
        </w:tc>
      </w:tr>
      <w:tr w:rsidR="002D0257">
        <w:trPr>
          <w:trHeight w:val="380"/>
        </w:trPr>
        <w:tc>
          <w:tcPr>
            <w:tcW w:w="71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     </w:t>
            </w:r>
            <w:r>
              <w:rPr>
                <w:color w:val="222222"/>
                <w:sz w:val="19"/>
                <w:szCs w:val="19"/>
                <w:highlight w:val="white"/>
              </w:rPr>
              <w:t>Children Centre Co-ordinator /Deputy manager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t>20/04/09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 Level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44" w:type="dxa"/>
            <w:gridSpan w:val="6"/>
            <w:tcBorders>
              <w:bottom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Purpose:</w:t>
            </w:r>
            <w:r>
              <w:rPr>
                <w:sz w:val="20"/>
                <w:szCs w:val="20"/>
              </w:rPr>
              <w:t xml:space="preserve">  To provide high quality care, play and learning opportunities for children attending the Children’s Centre.  To work as part of a team in maintai</w:t>
            </w:r>
            <w:r>
              <w:rPr>
                <w:sz w:val="20"/>
                <w:szCs w:val="20"/>
              </w:rPr>
              <w:t>ning an environment which is safe, stimulating and welcoming to children and their families.</w:t>
            </w:r>
          </w:p>
        </w:tc>
      </w:tr>
      <w:tr w:rsidR="002D0257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257" w:rsidRDefault="000733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D0257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2D0257" w:rsidRDefault="000733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D025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2D0257" w:rsidRDefault="000733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0" w:type="dxa"/>
            <w:gridSpan w:val="4"/>
            <w:tcBorders>
              <w:bottom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D025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2D0257" w:rsidRDefault="000733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0" w:type="dxa"/>
            <w:gridSpan w:val="4"/>
            <w:tcBorders>
              <w:bottom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aged 0-4 years and their families.</w:t>
            </w:r>
          </w:p>
        </w:tc>
      </w:tr>
      <w:tr w:rsidR="002D0257">
        <w:tc>
          <w:tcPr>
            <w:tcW w:w="15944" w:type="dxa"/>
            <w:gridSpan w:val="6"/>
            <w:tcBorders>
              <w:top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care and early learning experiences according to children’s needs and stages of development.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participate in a key worker system for children that provides consistency in facilitating children’s physical, emotional, intellectual and social dev</w:t>
            </w:r>
            <w:r>
              <w:rPr>
                <w:sz w:val="20"/>
                <w:szCs w:val="20"/>
              </w:rPr>
              <w:t>elopment.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in partnership with parents/carers, sharing information about children’s progress and encouraging parents and carers to become involved with the Children’s Centre.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assist in the implementation of the </w:t>
            </w:r>
            <w:proofErr w:type="spellStart"/>
            <w:r>
              <w:rPr>
                <w:sz w:val="20"/>
                <w:szCs w:val="20"/>
              </w:rPr>
              <w:t>EYFS</w:t>
            </w:r>
            <w:proofErr w:type="spellEnd"/>
            <w:r>
              <w:rPr>
                <w:sz w:val="20"/>
                <w:szCs w:val="20"/>
              </w:rPr>
              <w:t xml:space="preserve"> framework for all children and</w:t>
            </w:r>
            <w:r>
              <w:rPr>
                <w:sz w:val="20"/>
                <w:szCs w:val="20"/>
              </w:rPr>
              <w:t xml:space="preserve"> liaise with parents and carers in the recording and sharing of information.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 wide range of children’s behaviour in a way that promotes their welfare and development.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physical needs of children are met and maintain a high level of h</w:t>
            </w:r>
            <w:r>
              <w:rPr>
                <w:sz w:val="20"/>
                <w:szCs w:val="20"/>
              </w:rPr>
              <w:t>ygiene and cleanliness in the Children’s Centre.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 all policies and procedures as set out (e.g. Ofsted, </w:t>
            </w:r>
            <w:proofErr w:type="spellStart"/>
            <w:r>
              <w:rPr>
                <w:sz w:val="20"/>
                <w:szCs w:val="20"/>
              </w:rPr>
              <w:t>EYFS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Health</w:t>
            </w:r>
            <w:proofErr w:type="gramEnd"/>
            <w:r>
              <w:rPr>
                <w:sz w:val="20"/>
                <w:szCs w:val="20"/>
              </w:rPr>
              <w:t xml:space="preserve"> &amp; Safety).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children and families to play and use outdoor areas.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as part of the Children’s Centre team and the wider Sure Start Children’s Centres North team, sharing and contributing in the ongoing development of the whole programme.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continuous professional development that is supportive of the post.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 xml:space="preserve">all times carry out duties in accordance with Northumberland County Councils and Sure Start’s equal opportunities and in the spirit of </w:t>
            </w:r>
            <w:proofErr w:type="spellStart"/>
            <w:r>
              <w:rPr>
                <w:sz w:val="20"/>
                <w:szCs w:val="20"/>
              </w:rPr>
              <w:t>anti discriminatory</w:t>
            </w:r>
            <w:proofErr w:type="spellEnd"/>
            <w:r>
              <w:rPr>
                <w:sz w:val="20"/>
                <w:szCs w:val="20"/>
              </w:rPr>
              <w:t xml:space="preserve"> practice.</w:t>
            </w:r>
          </w:p>
          <w:p w:rsidR="002D0257" w:rsidRDefault="000733C4">
            <w:pPr>
              <w:numPr>
                <w:ilvl w:val="0"/>
                <w:numId w:val="1"/>
              </w:numPr>
              <w:ind w:hanging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any other duties and responsibilities as required, commensurate with the grade of</w:t>
            </w:r>
            <w:r>
              <w:rPr>
                <w:sz w:val="20"/>
                <w:szCs w:val="20"/>
              </w:rPr>
              <w:t xml:space="preserve"> the post.</w:t>
            </w:r>
          </w:p>
          <w:p w:rsidR="002D0257" w:rsidRDefault="000733C4">
            <w:pPr>
              <w:ind w:left="442" w:hanging="4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2D0257" w:rsidRDefault="000733C4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helping to keep children and young people safe by providing a safe environment for children and young people to learn in.</w:t>
            </w:r>
          </w:p>
          <w:p w:rsidR="002D0257" w:rsidRDefault="000733C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  <w:szCs w:val="20"/>
              </w:rPr>
              <w:t>Identifying children and young people who are suffering or likely to suffer significant harm and t</w:t>
            </w:r>
            <w:r>
              <w:rPr>
                <w:sz w:val="20"/>
                <w:szCs w:val="20"/>
              </w:rPr>
              <w:t>ake appropriate action with the aim of making sure they are kept safe.</w:t>
            </w:r>
          </w:p>
          <w:p w:rsidR="002D0257" w:rsidRDefault="002D0257">
            <w:pPr>
              <w:ind w:left="442" w:hanging="442"/>
              <w:rPr>
                <w:sz w:val="20"/>
                <w:szCs w:val="20"/>
              </w:rPr>
            </w:pP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duties and responsibilities highlighted in this job description are indicative and may vary over time.  Post holders are expected to undertake other duties and responsibilities rel</w:t>
            </w:r>
            <w:r>
              <w:rPr>
                <w:sz w:val="20"/>
                <w:szCs w:val="20"/>
              </w:rPr>
              <w:t>evant to the nature, level and extent of the post and the grade has been established on this basis.</w:t>
            </w:r>
          </w:p>
        </w:tc>
      </w:tr>
      <w:tr w:rsidR="002D0257">
        <w:tc>
          <w:tcPr>
            <w:tcW w:w="15944" w:type="dxa"/>
            <w:gridSpan w:val="6"/>
            <w:tcBorders>
              <w:top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2D0257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D0257" w:rsidRDefault="002D0257">
            <w:pPr>
              <w:rPr>
                <w:sz w:val="20"/>
                <w:szCs w:val="20"/>
              </w:rPr>
            </w:pP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work over 37 hour week</w:t>
            </w:r>
          </w:p>
        </w:tc>
      </w:tr>
    </w:tbl>
    <w:p w:rsidR="002D0257" w:rsidRDefault="002D0257">
      <w:pPr>
        <w:rPr>
          <w:sz w:val="20"/>
          <w:szCs w:val="20"/>
        </w:rPr>
      </w:pPr>
    </w:p>
    <w:p w:rsidR="002D0257" w:rsidRDefault="000733C4">
      <w:pPr>
        <w:tabs>
          <w:tab w:val="left" w:pos="-110"/>
          <w:tab w:val="center" w:pos="803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Northumberland County Council </w:t>
      </w:r>
    </w:p>
    <w:p w:rsidR="002D0257" w:rsidRDefault="000733C4">
      <w:pPr>
        <w:tabs>
          <w:tab w:val="left" w:pos="-110"/>
          <w:tab w:val="center" w:pos="803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2D0257" w:rsidRDefault="002D0257">
      <w:pPr>
        <w:tabs>
          <w:tab w:val="left" w:pos="-110"/>
          <w:tab w:val="center" w:pos="8030"/>
        </w:tabs>
        <w:rPr>
          <w:sz w:val="20"/>
          <w:szCs w:val="20"/>
        </w:rPr>
      </w:pPr>
    </w:p>
    <w:tbl>
      <w:tblPr>
        <w:tblStyle w:val="a0"/>
        <w:tblW w:w="1595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381"/>
        <w:gridCol w:w="513"/>
        <w:gridCol w:w="917"/>
      </w:tblGrid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Nursery Assistant</w:t>
            </w:r>
          </w:p>
        </w:tc>
        <w:tc>
          <w:tcPr>
            <w:tcW w:w="6381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 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  <w:r>
              <w:rPr>
                <w:sz w:val="20"/>
                <w:szCs w:val="20"/>
              </w:rPr>
              <w:t>: 656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430" w:type="dxa"/>
            <w:gridSpan w:val="2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by</w:t>
            </w: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general education demonstrating good literacy &amp; numeracy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0733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NVQ</w:t>
            </w:r>
            <w:proofErr w:type="spellEnd"/>
            <w:r>
              <w:rPr>
                <w:sz w:val="20"/>
                <w:szCs w:val="20"/>
              </w:rPr>
              <w:t xml:space="preserve"> Level 2/3 in Child Care (or equivalent)</w:t>
            </w: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experience of working with children under 4 and experience of working in a nursery/crèche or playgroup.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babies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children with additional</w:t>
            </w:r>
            <w:r>
              <w:rPr>
                <w:sz w:val="20"/>
                <w:szCs w:val="20"/>
              </w:rPr>
              <w:t xml:space="preserve"> needs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child centred community based project.</w:t>
            </w: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deliver a range of play activities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with young children and their parents/carers.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flexibly and as part of a team in the care of young children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knowledge of child development and the needs of the under 4’s.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record information accurately and appropriately.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further training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 an </w:t>
            </w:r>
            <w:proofErr w:type="spellStart"/>
            <w:r>
              <w:rPr>
                <w:sz w:val="20"/>
                <w:szCs w:val="20"/>
              </w:rPr>
              <w:t>anti d</w:t>
            </w:r>
            <w:r>
              <w:rPr>
                <w:sz w:val="20"/>
                <w:szCs w:val="20"/>
              </w:rPr>
              <w:t>iscriminatory</w:t>
            </w:r>
            <w:proofErr w:type="spellEnd"/>
            <w:r>
              <w:rPr>
                <w:sz w:val="20"/>
                <w:szCs w:val="20"/>
              </w:rPr>
              <w:t xml:space="preserve"> and inclusive way.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capable of discharging the requirements of the post.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2D0257">
        <w:tc>
          <w:tcPr>
            <w:tcW w:w="8139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  <w:tr w:rsidR="002D0257">
        <w:tc>
          <w:tcPr>
            <w:tcW w:w="15950" w:type="dxa"/>
            <w:gridSpan w:val="4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2D0257">
        <w:tc>
          <w:tcPr>
            <w:tcW w:w="8139" w:type="dxa"/>
          </w:tcPr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regarding hours of work.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keep children and young people safe by providing a safe environment for children and young people to learn in.</w:t>
            </w:r>
          </w:p>
          <w:p w:rsidR="002D0257" w:rsidRDefault="0007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identify children and young people who are suffering or likely to suffer significant harm and take appropriate action with the aim of making sure they are kept safe.</w:t>
            </w:r>
          </w:p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D0257" w:rsidRDefault="002D0257">
            <w:pPr>
              <w:rPr>
                <w:sz w:val="20"/>
                <w:szCs w:val="20"/>
              </w:rPr>
            </w:pPr>
          </w:p>
        </w:tc>
      </w:tr>
    </w:tbl>
    <w:p w:rsidR="002D0257" w:rsidRDefault="000733C4">
      <w:pP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</w:t>
      </w:r>
      <w:r>
        <w:rPr>
          <w:sz w:val="20"/>
          <w:szCs w:val="20"/>
        </w:rPr>
        <w:t>rences, (t) ability tests (q) personality questionnaire (g) assessed group work, (p) presentation, (o) others e.g. case studies/visits.</w:t>
      </w:r>
    </w:p>
    <w:sectPr w:rsidR="002D0257">
      <w:footerReference w:type="default" r:id="rId8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C4" w:rsidRDefault="000733C4">
      <w:r>
        <w:separator/>
      </w:r>
    </w:p>
  </w:endnote>
  <w:endnote w:type="continuationSeparator" w:id="0">
    <w:p w:rsidR="000733C4" w:rsidRDefault="0007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tabs>
        <w:tab w:val="center" w:pos="4320"/>
        <w:tab w:val="right" w:pos="8640"/>
      </w:tabs>
      <w:spacing w:after="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C4" w:rsidRDefault="000733C4">
      <w:r>
        <w:separator/>
      </w:r>
    </w:p>
  </w:footnote>
  <w:footnote w:type="continuationSeparator" w:id="0">
    <w:p w:rsidR="000733C4" w:rsidRDefault="0007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918"/>
    <w:multiLevelType w:val="multilevel"/>
    <w:tmpl w:val="174E8662"/>
    <w:lvl w:ilvl="0">
      <w:start w:val="1"/>
      <w:numFmt w:val="decimal"/>
      <w:lvlText w:val="%1."/>
      <w:lvlJc w:val="left"/>
      <w:pPr>
        <w:ind w:left="435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79AD2A10"/>
    <w:multiLevelType w:val="multilevel"/>
    <w:tmpl w:val="D026DFE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257"/>
    <w:rsid w:val="000733C4"/>
    <w:rsid w:val="002D0257"/>
    <w:rsid w:val="007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2017-03-21T14:31:00Z</dcterms:created>
  <dcterms:modified xsi:type="dcterms:W3CDTF">2017-03-21T14:31:00Z</dcterms:modified>
</cp:coreProperties>
</file>