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095991">
        <w:rPr>
          <w:rFonts w:ascii="Arial" w:hAnsi="Arial" w:cs="Arial"/>
          <w:b/>
          <w:sz w:val="24"/>
          <w:szCs w:val="24"/>
        </w:rPr>
        <w:tab/>
      </w:r>
      <w:r w:rsidR="00364F42">
        <w:rPr>
          <w:rFonts w:ascii="Arial" w:hAnsi="Arial" w:cs="Arial"/>
          <w:b/>
          <w:sz w:val="24"/>
          <w:szCs w:val="24"/>
        </w:rPr>
        <w:t>Employment Law Case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652D76">
        <w:rPr>
          <w:rFonts w:ascii="Arial" w:hAnsi="Arial" w:cs="Arial"/>
          <w:sz w:val="24"/>
          <w:szCs w:val="24"/>
        </w:rPr>
        <w:t xml:space="preserve">Grade  </w:t>
      </w:r>
      <w:r w:rsidR="00364F42">
        <w:rPr>
          <w:rFonts w:ascii="Arial" w:hAnsi="Arial" w:cs="Arial"/>
          <w:sz w:val="24"/>
          <w:szCs w:val="24"/>
        </w:rPr>
        <w:t>PC4 Grade 7</w:t>
      </w:r>
    </w:p>
    <w:p w:rsidR="00B038D0" w:rsidRPr="005C5DF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B83031">
        <w:rPr>
          <w:rFonts w:ascii="Arial" w:hAnsi="Arial" w:cs="Arial"/>
          <w:b/>
          <w:sz w:val="24"/>
          <w:szCs w:val="24"/>
        </w:rPr>
        <w:t>32 - 36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D426AC" w:rsidRPr="000A03F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364F42">
        <w:rPr>
          <w:rFonts w:ascii="Arial" w:hAnsi="Arial" w:cs="Arial"/>
          <w:sz w:val="24"/>
          <w:szCs w:val="24"/>
        </w:rPr>
        <w:t>PC4</w:t>
      </w:r>
    </w:p>
    <w:p w:rsidR="00D426AC" w:rsidRPr="004F1EA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C108F">
        <w:rPr>
          <w:rFonts w:ascii="Arial" w:hAnsi="Arial" w:cs="Arial"/>
          <w:b/>
          <w:sz w:val="24"/>
          <w:szCs w:val="24"/>
        </w:rPr>
        <w:t xml:space="preserve"> </w:t>
      </w:r>
      <w:r w:rsidR="00CC108F">
        <w:rPr>
          <w:rFonts w:ascii="Arial" w:hAnsi="Arial" w:cs="Arial"/>
          <w:b/>
          <w:sz w:val="24"/>
          <w:szCs w:val="24"/>
        </w:rPr>
        <w:tab/>
      </w:r>
      <w:r w:rsidR="00CC108F">
        <w:rPr>
          <w:rFonts w:ascii="Arial" w:hAnsi="Arial" w:cs="Arial"/>
          <w:b/>
          <w:sz w:val="24"/>
          <w:szCs w:val="24"/>
        </w:rPr>
        <w:tab/>
      </w:r>
      <w:r w:rsidR="00CC108F">
        <w:rPr>
          <w:rFonts w:ascii="Arial" w:hAnsi="Arial" w:cs="Arial"/>
          <w:b/>
          <w:sz w:val="24"/>
          <w:szCs w:val="24"/>
        </w:rPr>
        <w:tab/>
      </w:r>
      <w:r w:rsidR="001B028F" w:rsidRPr="004F1EAC">
        <w:rPr>
          <w:rFonts w:ascii="Arial" w:hAnsi="Arial" w:cs="Arial"/>
          <w:sz w:val="24"/>
          <w:szCs w:val="24"/>
        </w:rPr>
        <w:t>People</w:t>
      </w:r>
      <w:r w:rsidR="00652D76" w:rsidRPr="004F1EAC">
        <w:rPr>
          <w:rFonts w:ascii="Arial" w:hAnsi="Arial" w:cs="Arial"/>
          <w:sz w:val="24"/>
          <w:szCs w:val="24"/>
        </w:rPr>
        <w:t xml:space="preserve">’s </w:t>
      </w:r>
    </w:p>
    <w:p w:rsidR="00D426AC" w:rsidRPr="004F1EA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646510">
        <w:rPr>
          <w:rFonts w:ascii="Arial" w:hAnsi="Arial" w:cs="Arial"/>
          <w:b/>
          <w:sz w:val="24"/>
          <w:szCs w:val="24"/>
        </w:rPr>
        <w:t xml:space="preserve"> </w:t>
      </w:r>
      <w:r w:rsidR="00646510">
        <w:rPr>
          <w:rFonts w:ascii="Arial" w:hAnsi="Arial" w:cs="Arial"/>
          <w:b/>
          <w:sz w:val="24"/>
          <w:szCs w:val="24"/>
        </w:rPr>
        <w:tab/>
      </w:r>
      <w:r w:rsidR="00646510">
        <w:rPr>
          <w:rFonts w:ascii="Arial" w:hAnsi="Arial" w:cs="Arial"/>
          <w:b/>
          <w:sz w:val="24"/>
          <w:szCs w:val="24"/>
        </w:rPr>
        <w:tab/>
      </w:r>
      <w:r w:rsidR="00646510">
        <w:rPr>
          <w:rFonts w:ascii="Arial" w:hAnsi="Arial" w:cs="Arial"/>
          <w:b/>
          <w:sz w:val="24"/>
          <w:szCs w:val="24"/>
        </w:rPr>
        <w:tab/>
      </w:r>
      <w:r w:rsidR="00646510" w:rsidRPr="004F1EAC">
        <w:rPr>
          <w:rFonts w:ascii="Arial" w:hAnsi="Arial" w:cs="Arial"/>
          <w:sz w:val="24"/>
          <w:szCs w:val="24"/>
        </w:rPr>
        <w:t>TBC</w:t>
      </w:r>
    </w:p>
    <w:p w:rsidR="00D426AC" w:rsidRPr="004F1EA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65D2C">
        <w:rPr>
          <w:rFonts w:ascii="Arial" w:hAnsi="Arial" w:cs="Arial"/>
          <w:b/>
          <w:sz w:val="24"/>
          <w:szCs w:val="24"/>
        </w:rPr>
        <w:tab/>
      </w:r>
      <w:r w:rsidR="00D65D2C" w:rsidRPr="004F1EAC">
        <w:rPr>
          <w:rFonts w:ascii="Arial" w:hAnsi="Arial" w:cs="Arial"/>
          <w:sz w:val="24"/>
          <w:szCs w:val="24"/>
        </w:rPr>
        <w:t>Agile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B028F">
        <w:rPr>
          <w:rFonts w:ascii="Arial" w:hAnsi="Arial" w:cs="Arial"/>
          <w:b/>
          <w:sz w:val="24"/>
          <w:szCs w:val="24"/>
        </w:rPr>
        <w:t xml:space="preserve"> </w:t>
      </w:r>
      <w:r w:rsidR="001B028F">
        <w:rPr>
          <w:rFonts w:ascii="Arial" w:hAnsi="Arial" w:cs="Arial"/>
          <w:b/>
          <w:sz w:val="24"/>
          <w:szCs w:val="24"/>
        </w:rPr>
        <w:tab/>
      </w:r>
      <w:r w:rsidR="001B028F">
        <w:rPr>
          <w:rFonts w:ascii="Arial" w:hAnsi="Arial" w:cs="Arial"/>
          <w:b/>
          <w:sz w:val="24"/>
          <w:szCs w:val="24"/>
        </w:rPr>
        <w:tab/>
      </w:r>
      <w:r w:rsidR="001B028F">
        <w:rPr>
          <w:rFonts w:ascii="Arial" w:hAnsi="Arial" w:cs="Arial"/>
          <w:b/>
          <w:sz w:val="24"/>
          <w:szCs w:val="24"/>
        </w:rPr>
        <w:tab/>
        <w:t>We</w:t>
      </w:r>
      <w:r w:rsidR="00095991">
        <w:rPr>
          <w:rFonts w:ascii="Arial" w:hAnsi="Arial" w:cs="Arial"/>
          <w:b/>
          <w:sz w:val="24"/>
          <w:szCs w:val="24"/>
        </w:rPr>
        <w:t>lfare Rights Service Senior Caseworker</w:t>
      </w:r>
    </w:p>
    <w:p w:rsidR="001B028F" w:rsidRDefault="001B028F" w:rsidP="00B038D0">
      <w:pPr>
        <w:rPr>
          <w:rFonts w:ascii="Arial" w:hAnsi="Arial" w:cs="Arial"/>
          <w:b/>
          <w:sz w:val="24"/>
          <w:szCs w:val="24"/>
        </w:rPr>
      </w:pPr>
    </w:p>
    <w:p w:rsidR="00D426AC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52D76">
        <w:rPr>
          <w:rFonts w:ascii="Arial" w:hAnsi="Arial" w:cs="Arial"/>
          <w:b/>
          <w:sz w:val="24"/>
          <w:szCs w:val="24"/>
        </w:rPr>
        <w:tab/>
        <w:t>0</w:t>
      </w:r>
    </w:p>
    <w:p w:rsidR="003C40F1" w:rsidRDefault="003C40F1" w:rsidP="003C40F1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3C40F1" w:rsidRPr="003C40F1" w:rsidRDefault="003C40F1" w:rsidP="003C40F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C40F1">
        <w:rPr>
          <w:sz w:val="28"/>
          <w:szCs w:val="28"/>
        </w:rPr>
        <w:t xml:space="preserve">To support the operating model of the welfare rights service, including </w:t>
      </w:r>
      <w:r w:rsidRPr="003C40F1">
        <w:rPr>
          <w:rFonts w:ascii="Arial" w:eastAsia="Times New Roman" w:hAnsi="Arial" w:cs="Times New Roman"/>
          <w:sz w:val="24"/>
          <w:szCs w:val="24"/>
          <w:lang w:eastAsia="en-GB"/>
        </w:rPr>
        <w:t xml:space="preserve">key service workflows including referrals in/out, validation, allocation,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and </w:t>
      </w:r>
      <w:r w:rsidR="0068478B">
        <w:rPr>
          <w:rFonts w:ascii="Arial" w:eastAsia="Times New Roman" w:hAnsi="Arial" w:cs="Times New Roman"/>
          <w:sz w:val="24"/>
          <w:szCs w:val="24"/>
          <w:lang w:eastAsia="en-GB"/>
        </w:rPr>
        <w:t xml:space="preserve">elements of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casework </w:t>
      </w:r>
    </w:p>
    <w:p w:rsidR="003C40F1" w:rsidRPr="00FF0651" w:rsidRDefault="003C40F1" w:rsidP="003C40F1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FF0651" w:rsidRPr="003C40F1" w:rsidRDefault="003C40F1" w:rsidP="003C40F1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364F42" w:rsidRPr="00364F42" w:rsidRDefault="00364F42" w:rsidP="00364F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4F42">
        <w:rPr>
          <w:rFonts w:ascii="Arial" w:hAnsi="Arial" w:cs="Arial"/>
          <w:sz w:val="24"/>
          <w:szCs w:val="24"/>
        </w:rPr>
        <w:t>To provide advice and representation</w:t>
      </w:r>
      <w:r>
        <w:rPr>
          <w:rFonts w:ascii="Arial" w:hAnsi="Arial" w:cs="Arial"/>
          <w:sz w:val="24"/>
          <w:szCs w:val="24"/>
        </w:rPr>
        <w:t xml:space="preserve"> at E.T</w:t>
      </w:r>
      <w:r w:rsidRPr="00364F42">
        <w:rPr>
          <w:rFonts w:ascii="Arial" w:hAnsi="Arial" w:cs="Arial"/>
          <w:sz w:val="24"/>
          <w:szCs w:val="24"/>
        </w:rPr>
        <w:t xml:space="preserve"> to cli</w:t>
      </w:r>
      <w:r w:rsidR="00260E60">
        <w:rPr>
          <w:rFonts w:ascii="Arial" w:hAnsi="Arial" w:cs="Arial"/>
          <w:sz w:val="24"/>
          <w:szCs w:val="24"/>
        </w:rPr>
        <w:t>ents i</w:t>
      </w:r>
      <w:r w:rsidRPr="00364F42">
        <w:rPr>
          <w:rFonts w:ascii="Arial" w:hAnsi="Arial" w:cs="Arial"/>
          <w:sz w:val="24"/>
          <w:szCs w:val="24"/>
        </w:rPr>
        <w:t xml:space="preserve">n relation to Unfair Dismissal, Discrimination, Wrongful dismissal, illegal deduction of wages, working time directive </w:t>
      </w:r>
      <w:r>
        <w:rPr>
          <w:rFonts w:ascii="Arial" w:hAnsi="Arial" w:cs="Arial"/>
          <w:sz w:val="24"/>
          <w:szCs w:val="24"/>
        </w:rPr>
        <w:t>and holidays,</w:t>
      </w:r>
      <w:r w:rsidRPr="00364F42">
        <w:rPr>
          <w:rFonts w:ascii="Arial" w:hAnsi="Arial" w:cs="Arial"/>
          <w:sz w:val="24"/>
          <w:szCs w:val="24"/>
        </w:rPr>
        <w:t xml:space="preserve"> brea</w:t>
      </w:r>
      <w:r>
        <w:rPr>
          <w:rFonts w:ascii="Arial" w:hAnsi="Arial" w:cs="Arial"/>
          <w:sz w:val="24"/>
          <w:szCs w:val="24"/>
        </w:rPr>
        <w:t>ch of contract and other</w:t>
      </w:r>
      <w:r w:rsidRPr="00364F42">
        <w:rPr>
          <w:rFonts w:ascii="Arial" w:hAnsi="Arial" w:cs="Arial"/>
          <w:sz w:val="24"/>
          <w:szCs w:val="24"/>
        </w:rPr>
        <w:t xml:space="preserve"> issues</w:t>
      </w:r>
      <w:r>
        <w:rPr>
          <w:rFonts w:ascii="Arial" w:hAnsi="Arial" w:cs="Arial"/>
          <w:sz w:val="24"/>
          <w:szCs w:val="24"/>
        </w:rPr>
        <w:t xml:space="preserve"> related</w:t>
      </w:r>
      <w:r w:rsidRPr="00364F42">
        <w:rPr>
          <w:rFonts w:ascii="Arial" w:hAnsi="Arial" w:cs="Arial"/>
          <w:sz w:val="24"/>
          <w:szCs w:val="24"/>
        </w:rPr>
        <w:t xml:space="preserve"> to the above.</w:t>
      </w:r>
    </w:p>
    <w:p w:rsidR="00364F42" w:rsidRDefault="00364F42" w:rsidP="00364F42">
      <w:pPr>
        <w:pStyle w:val="ListParagraph"/>
        <w:rPr>
          <w:rFonts w:ascii="Arial" w:hAnsi="Arial" w:cs="Arial"/>
          <w:sz w:val="24"/>
          <w:szCs w:val="24"/>
        </w:rPr>
      </w:pPr>
    </w:p>
    <w:p w:rsidR="00364F42" w:rsidRDefault="00364F42" w:rsidP="00364F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support to colleagues in relation to employment law matters they are handling.</w:t>
      </w:r>
    </w:p>
    <w:p w:rsidR="00364F42" w:rsidRDefault="00364F42" w:rsidP="00364F42">
      <w:pPr>
        <w:pStyle w:val="ListParagraph"/>
        <w:rPr>
          <w:rFonts w:ascii="Arial" w:hAnsi="Arial" w:cs="Arial"/>
          <w:sz w:val="24"/>
          <w:szCs w:val="24"/>
        </w:rPr>
      </w:pPr>
    </w:p>
    <w:p w:rsidR="00364F42" w:rsidRDefault="00364F42" w:rsidP="00364F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advice to clients in a number of settings including advice sessions, outreach advice sessions and health pathway settings.</w:t>
      </w:r>
    </w:p>
    <w:p w:rsidR="00364F42" w:rsidRDefault="00364F42" w:rsidP="00364F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provide a holistic approach to advice and consider connected issues facing clients who seek advice from the service such as welfare benefits, debt and housing matters and advice clients accordingly. </w:t>
      </w:r>
    </w:p>
    <w:p w:rsidR="00364F42" w:rsidRDefault="00364F42" w:rsidP="00364F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260E60">
        <w:rPr>
          <w:rFonts w:ascii="Arial" w:hAnsi="Arial" w:cs="Arial"/>
          <w:sz w:val="24"/>
          <w:szCs w:val="24"/>
        </w:rPr>
        <w:t>training and</w:t>
      </w:r>
      <w:r>
        <w:rPr>
          <w:rFonts w:ascii="Arial" w:hAnsi="Arial" w:cs="Arial"/>
          <w:sz w:val="24"/>
          <w:szCs w:val="24"/>
        </w:rPr>
        <w:t xml:space="preserve"> updates to members of the Welfare Rights Team and other advice providers and organisations when and if required.</w:t>
      </w:r>
    </w:p>
    <w:p w:rsidR="000D04ED" w:rsidRDefault="000D04ED" w:rsidP="000D04E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 xml:space="preserve">To manage a full case load </w:t>
      </w:r>
      <w:r w:rsidR="00260E60">
        <w:rPr>
          <w:rFonts w:ascii="Arial" w:hAnsi="Arial" w:cs="Arial"/>
          <w:sz w:val="24"/>
          <w:szCs w:val="24"/>
        </w:rPr>
        <w:t>in relation to</w:t>
      </w:r>
      <w:r w:rsidRPr="00317170">
        <w:rPr>
          <w:rFonts w:ascii="Arial" w:hAnsi="Arial" w:cs="Arial"/>
          <w:sz w:val="24"/>
          <w:szCs w:val="24"/>
        </w:rPr>
        <w:t xml:space="preserve"> employment up to and including</w:t>
      </w:r>
    </w:p>
    <w:p w:rsidR="000D04ED" w:rsidRDefault="000D04ED" w:rsidP="000D04ED">
      <w:pPr>
        <w:pStyle w:val="ListParagraph"/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- representation at Social Security appeal tribunal and Employment Tribunals.</w:t>
      </w:r>
    </w:p>
    <w:p w:rsidR="000D04ED" w:rsidRPr="00317170" w:rsidRDefault="000D04ED" w:rsidP="000D04E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17170">
        <w:rPr>
          <w:rFonts w:ascii="Arial" w:hAnsi="Arial" w:cs="Arial"/>
          <w:sz w:val="24"/>
          <w:szCs w:val="24"/>
        </w:rPr>
        <w:t xml:space="preserve"> County Court application and representation.</w:t>
      </w:r>
    </w:p>
    <w:p w:rsidR="000D04ED" w:rsidRPr="00317170" w:rsidRDefault="000D04ED" w:rsidP="000D04E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To provide advice sessions in relation to new clients and on-going issues</w:t>
      </w:r>
    </w:p>
    <w:p w:rsidR="000D04ED" w:rsidRPr="00317170" w:rsidRDefault="000D04ED" w:rsidP="000D04E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To manage caseloads via diary and recall systems and provide detailed but succinct case recording.</w:t>
      </w:r>
    </w:p>
    <w:p w:rsidR="000D04ED" w:rsidRPr="00317170" w:rsidRDefault="000D04ED" w:rsidP="000D04E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 xml:space="preserve">To maintain and develop knowledge of welfare benefits, debt, employment rules and regulations. </w:t>
      </w:r>
    </w:p>
    <w:p w:rsidR="000D04ED" w:rsidRPr="00317170" w:rsidRDefault="000D04ED" w:rsidP="000D04E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To manage complex and higher risk cases to maintain or improve the wellbeing of vulnerable clients</w:t>
      </w:r>
      <w:r w:rsidR="00260E60" w:rsidRPr="00317170">
        <w:rPr>
          <w:rFonts w:ascii="Arial" w:hAnsi="Arial" w:cs="Arial"/>
          <w:sz w:val="24"/>
          <w:szCs w:val="24"/>
        </w:rPr>
        <w:t>...</w:t>
      </w:r>
    </w:p>
    <w:p w:rsidR="000D04ED" w:rsidRDefault="000D04ED" w:rsidP="000D0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the post holder will be </w:t>
      </w:r>
      <w:r w:rsidR="00260E60">
        <w:rPr>
          <w:rFonts w:ascii="Arial" w:hAnsi="Arial" w:cs="Arial"/>
          <w:sz w:val="24"/>
          <w:szCs w:val="24"/>
        </w:rPr>
        <w:t>required:</w:t>
      </w:r>
    </w:p>
    <w:p w:rsidR="000D04ED" w:rsidRDefault="000D04ED" w:rsidP="000D04E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To provide advice information and guidance through training sessions to members of the public, organisations, charities, council staff and other advice providers</w:t>
      </w:r>
    </w:p>
    <w:p w:rsidR="000D04ED" w:rsidRDefault="000D04ED" w:rsidP="000D04E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To contribute to, update and edit the Welfare Rights Service web pages.</w:t>
      </w:r>
    </w:p>
    <w:p w:rsidR="000D04ED" w:rsidRPr="00317170" w:rsidRDefault="000D04ED" w:rsidP="000D04E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 xml:space="preserve">To provide support through in-reach pilots including liaison with pathways partners </w:t>
      </w:r>
    </w:p>
    <w:p w:rsidR="000D04ED" w:rsidRDefault="000D04ED" w:rsidP="000D04E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317170">
        <w:rPr>
          <w:rFonts w:ascii="Arial" w:hAnsi="Arial" w:cs="Arial"/>
          <w:sz w:val="24"/>
          <w:szCs w:val="24"/>
        </w:rPr>
        <w:t>Meet the pathway partners. Discuss trends patterns in activity in relation to advice work.</w:t>
      </w:r>
    </w:p>
    <w:p w:rsidR="000D04ED" w:rsidRPr="00317170" w:rsidRDefault="000D04ED" w:rsidP="000D04ED">
      <w:pPr>
        <w:pStyle w:val="ListParagraph"/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- Investigate response with the pathway partners to these trend and patterns.</w:t>
      </w:r>
    </w:p>
    <w:p w:rsidR="000D04ED" w:rsidRPr="00317170" w:rsidRDefault="000D04ED" w:rsidP="000D04E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7170">
        <w:rPr>
          <w:rFonts w:ascii="Arial" w:hAnsi="Arial" w:cs="Arial"/>
          <w:sz w:val="24"/>
          <w:szCs w:val="24"/>
        </w:rPr>
        <w:t>Bring this to the attention of the Team Leader if necessary and implement if necessary.</w:t>
      </w:r>
    </w:p>
    <w:p w:rsidR="000D04ED" w:rsidRPr="00317170" w:rsidRDefault="000D04ED" w:rsidP="000D04E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To promote the service via liaison with, and attendance of meetings and forums, and presentation to the following.</w:t>
      </w:r>
    </w:p>
    <w:p w:rsidR="000D04ED" w:rsidRDefault="000D04ED" w:rsidP="000D04ED">
      <w:pPr>
        <w:pStyle w:val="ListParagraph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7170">
        <w:rPr>
          <w:rFonts w:ascii="Arial" w:hAnsi="Arial" w:cs="Arial"/>
          <w:sz w:val="24"/>
          <w:szCs w:val="24"/>
        </w:rPr>
        <w:t>Community organisations, Council departments and other organisations such as ACAS, Her Majesty’s Court and Tribunal Service, and the Department of Work and Pensions.</w:t>
      </w:r>
    </w:p>
    <w:p w:rsidR="000D04ED" w:rsidRPr="00317170" w:rsidRDefault="000D04ED" w:rsidP="000D04ED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 xml:space="preserve">- Professional meetings: </w:t>
      </w:r>
      <w:r w:rsidR="00260E60" w:rsidRPr="00317170">
        <w:rPr>
          <w:rFonts w:ascii="Arial" w:hAnsi="Arial" w:cs="Arial"/>
          <w:sz w:val="24"/>
          <w:szCs w:val="24"/>
        </w:rPr>
        <w:t>FINCAN the</w:t>
      </w:r>
      <w:r w:rsidRPr="00317170">
        <w:rPr>
          <w:rFonts w:ascii="Arial" w:hAnsi="Arial" w:cs="Arial"/>
          <w:sz w:val="24"/>
          <w:szCs w:val="24"/>
        </w:rPr>
        <w:t xml:space="preserve"> (Financial Inclusion Network) National Association of Welfare Rights Advisors (NAWRA)</w:t>
      </w:r>
    </w:p>
    <w:p w:rsidR="000D04ED" w:rsidRDefault="000D04ED" w:rsidP="000D04ED">
      <w:pPr>
        <w:pStyle w:val="ListParagraph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7170">
        <w:rPr>
          <w:rFonts w:ascii="Arial" w:hAnsi="Arial" w:cs="Arial"/>
          <w:sz w:val="24"/>
          <w:szCs w:val="24"/>
        </w:rPr>
        <w:t>Welfare Rights Discussion Group. (WRDG)</w:t>
      </w:r>
    </w:p>
    <w:p w:rsidR="00260E60" w:rsidRPr="00317170" w:rsidRDefault="00260E60" w:rsidP="000D04ED">
      <w:pPr>
        <w:pStyle w:val="ListParagraph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Tribunal Users Group</w:t>
      </w:r>
    </w:p>
    <w:p w:rsidR="000D04ED" w:rsidRPr="00364F42" w:rsidRDefault="000D04ED" w:rsidP="000D04E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17170">
        <w:rPr>
          <w:rFonts w:ascii="Arial" w:hAnsi="Arial" w:cs="Arial"/>
          <w:sz w:val="24"/>
          <w:szCs w:val="24"/>
        </w:rPr>
        <w:t>To deliver training and briefing sessions to council colleagues/ external partners</w:t>
      </w:r>
    </w:p>
    <w:p w:rsidR="00165CBD" w:rsidRPr="000A03FD" w:rsidRDefault="00165CBD" w:rsidP="001B028F">
      <w:pPr>
        <w:rPr>
          <w:rFonts w:ascii="Arial" w:hAnsi="Arial" w:cs="Arial"/>
          <w:sz w:val="24"/>
          <w:szCs w:val="24"/>
        </w:rPr>
      </w:pPr>
    </w:p>
    <w:sectPr w:rsidR="00165CBD" w:rsidRPr="000A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BC8"/>
    <w:multiLevelType w:val="hybridMultilevel"/>
    <w:tmpl w:val="DCD8E7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2E1C92"/>
    <w:multiLevelType w:val="hybridMultilevel"/>
    <w:tmpl w:val="8EB8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1570"/>
    <w:multiLevelType w:val="hybridMultilevel"/>
    <w:tmpl w:val="5AC0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60DE"/>
    <w:multiLevelType w:val="hybridMultilevel"/>
    <w:tmpl w:val="180C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1F80"/>
    <w:multiLevelType w:val="hybridMultilevel"/>
    <w:tmpl w:val="60E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1C93"/>
    <w:multiLevelType w:val="hybridMultilevel"/>
    <w:tmpl w:val="CD3A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84BBF"/>
    <w:multiLevelType w:val="hybridMultilevel"/>
    <w:tmpl w:val="99FE23F0"/>
    <w:lvl w:ilvl="0" w:tplc="08B0C6B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47162"/>
    <w:multiLevelType w:val="hybridMultilevel"/>
    <w:tmpl w:val="1A26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23A55"/>
    <w:multiLevelType w:val="hybridMultilevel"/>
    <w:tmpl w:val="030E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717CD"/>
    <w:multiLevelType w:val="hybridMultilevel"/>
    <w:tmpl w:val="9D1A57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DDC5A81"/>
    <w:multiLevelType w:val="hybridMultilevel"/>
    <w:tmpl w:val="7BB0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F0DDF"/>
    <w:multiLevelType w:val="hybridMultilevel"/>
    <w:tmpl w:val="9CA0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95991"/>
    <w:rsid w:val="000A03FD"/>
    <w:rsid w:val="000A1ECE"/>
    <w:rsid w:val="000A2664"/>
    <w:rsid w:val="000D04ED"/>
    <w:rsid w:val="000F27BC"/>
    <w:rsid w:val="00165CBD"/>
    <w:rsid w:val="001B028F"/>
    <w:rsid w:val="001E0081"/>
    <w:rsid w:val="0022466F"/>
    <w:rsid w:val="00260E60"/>
    <w:rsid w:val="0032557E"/>
    <w:rsid w:val="00364F42"/>
    <w:rsid w:val="003A6E1D"/>
    <w:rsid w:val="003C40F1"/>
    <w:rsid w:val="004F1EAC"/>
    <w:rsid w:val="005A0151"/>
    <w:rsid w:val="005C5DFC"/>
    <w:rsid w:val="00612189"/>
    <w:rsid w:val="00646510"/>
    <w:rsid w:val="00652D76"/>
    <w:rsid w:val="0068478B"/>
    <w:rsid w:val="00711C30"/>
    <w:rsid w:val="00723977"/>
    <w:rsid w:val="00A52189"/>
    <w:rsid w:val="00B038D0"/>
    <w:rsid w:val="00B83031"/>
    <w:rsid w:val="00CC108F"/>
    <w:rsid w:val="00D426AC"/>
    <w:rsid w:val="00D65D2C"/>
    <w:rsid w:val="00D743A1"/>
    <w:rsid w:val="00EC17B1"/>
    <w:rsid w:val="00F80039"/>
    <w:rsid w:val="00FB7970"/>
    <w:rsid w:val="00FE0A9C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2017-03-22T14:31:00Z</dcterms:created>
  <dcterms:modified xsi:type="dcterms:W3CDTF">2017-03-22T14:31:00Z</dcterms:modified>
</cp:coreProperties>
</file>