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7C" w:rsidRDefault="00305CF3" w:rsidP="00F4667C">
      <w:r>
        <w:rPr>
          <w:noProof/>
          <w:lang w:eastAsia="en-GB"/>
        </w:rPr>
        <mc:AlternateContent>
          <mc:Choice Requires="wps">
            <w:drawing>
              <wp:anchor distT="0" distB="0" distL="114300" distR="114300" simplePos="0" relativeHeight="251659264" behindDoc="0" locked="0" layoutInCell="1" allowOverlap="1" wp14:anchorId="065DD5C7" wp14:editId="58DEEC9D">
                <wp:simplePos x="0" y="0"/>
                <wp:positionH relativeFrom="column">
                  <wp:align>center</wp:align>
                </wp:positionH>
                <wp:positionV relativeFrom="paragraph">
                  <wp:posOffset>0</wp:posOffset>
                </wp:positionV>
                <wp:extent cx="3184634" cy="1557020"/>
                <wp:effectExtent l="0" t="0" r="0" b="508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634" cy="155638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St. Benedict’s Primary Catholic Voluntary Academy</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Mersey Road</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Redcar</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Cleveland</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TS10 1LS</w:t>
                            </w:r>
                          </w:p>
                          <w:p w:rsidR="00F4667C" w:rsidRPr="00F4667C" w:rsidRDefault="00F4667C" w:rsidP="00F4667C">
                            <w:pPr>
                              <w:jc w:val="center"/>
                              <w:rPr>
                                <w:rFonts w:ascii="Bradley Hand ITC" w:hAnsi="Bradley Hand ITC"/>
                                <w:sz w:val="20"/>
                                <w:szCs w:val="20"/>
                              </w:rPr>
                            </w:pPr>
                            <w:r w:rsidRPr="00F4667C">
                              <w:rPr>
                                <w:rFonts w:ascii="Bradley Hand ITC" w:hAnsi="Bradley Hand ITC"/>
                                <w:sz w:val="20"/>
                                <w:szCs w:val="20"/>
                              </w:rPr>
                              <w:t>Telephone: 01642 495770</w:t>
                            </w:r>
                          </w:p>
                          <w:p w:rsidR="00F4667C" w:rsidRPr="00F4667C" w:rsidRDefault="00F4667C" w:rsidP="00F4667C">
                            <w:pPr>
                              <w:jc w:val="center"/>
                              <w:rPr>
                                <w:rFonts w:ascii="Bradley Hand ITC" w:hAnsi="Bradley Hand ITC"/>
                                <w:b/>
                                <w:sz w:val="20"/>
                                <w:szCs w:val="20"/>
                              </w:rPr>
                            </w:pPr>
                            <w:r w:rsidRPr="00F4667C">
                              <w:rPr>
                                <w:rFonts w:ascii="Bradley Hand ITC" w:hAnsi="Bradley Hand ITC"/>
                                <w:b/>
                                <w:sz w:val="20"/>
                                <w:szCs w:val="20"/>
                              </w:rPr>
                              <w:t>‘Together in God we love, learn and grow’</w:t>
                            </w:r>
                          </w:p>
                          <w:p w:rsidR="00F4667C" w:rsidRDefault="00F4667C" w:rsidP="00F4667C">
                            <w:pPr>
                              <w:rPr>
                                <w:rFonts w:ascii="Bradley Hand ITC" w:hAnsi="Bradley Hand ITC"/>
                              </w:rPr>
                            </w:pPr>
                          </w:p>
                          <w:p w:rsidR="00F4667C" w:rsidRDefault="00F4667C" w:rsidP="00F46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250.75pt;height:122.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" fillcolor="white [3201]" stroked="f" strokeweight="2pt">
                <v:textbox>
                  <w:txbxContent>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St. Benedict’s Primary Catholic Voluntary Academy</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Mersey Road</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Redcar</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Cleveland</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TS10 1LS</w:t>
                      </w:r>
                    </w:p>
                    <w:p w:rsidR="00F4667C" w:rsidRPr="00F4667C" w:rsidRDefault="00F4667C" w:rsidP="00F4667C">
                      <w:pPr>
                        <w:jc w:val="center"/>
                        <w:rPr>
                          <w:rFonts w:ascii="Bradley Hand ITC" w:hAnsi="Bradley Hand ITC"/>
                          <w:sz w:val="20"/>
                          <w:szCs w:val="20"/>
                        </w:rPr>
                      </w:pPr>
                      <w:r w:rsidRPr="00F4667C">
                        <w:rPr>
                          <w:rFonts w:ascii="Bradley Hand ITC" w:hAnsi="Bradley Hand ITC"/>
                          <w:sz w:val="20"/>
                          <w:szCs w:val="20"/>
                        </w:rPr>
                        <w:t>Telephone: 01642 495770</w:t>
                      </w:r>
                    </w:p>
                    <w:p w:rsidR="00F4667C" w:rsidRPr="00F4667C" w:rsidRDefault="00F4667C" w:rsidP="00F4667C">
                      <w:pPr>
                        <w:jc w:val="center"/>
                        <w:rPr>
                          <w:rFonts w:ascii="Bradley Hand ITC" w:hAnsi="Bradley Hand ITC"/>
                          <w:b/>
                          <w:sz w:val="20"/>
                          <w:szCs w:val="20"/>
                        </w:rPr>
                      </w:pPr>
                      <w:r w:rsidRPr="00F4667C">
                        <w:rPr>
                          <w:rFonts w:ascii="Bradley Hand ITC" w:hAnsi="Bradley Hand ITC"/>
                          <w:b/>
                          <w:sz w:val="20"/>
                          <w:szCs w:val="20"/>
                        </w:rPr>
                        <w:t>‘Together in God we love, learn and grow’</w:t>
                      </w:r>
                    </w:p>
                    <w:p w:rsidR="00F4667C" w:rsidRDefault="00F4667C" w:rsidP="00F4667C">
                      <w:pPr>
                        <w:rPr>
                          <w:rFonts w:ascii="Bradley Hand ITC" w:hAnsi="Bradley Hand ITC"/>
                        </w:rPr>
                      </w:pPr>
                    </w:p>
                    <w:p w:rsidR="00F4667C" w:rsidRDefault="00F4667C" w:rsidP="00F4667C"/>
                  </w:txbxContent>
                </v:textbox>
              </v:shape>
            </w:pict>
          </mc:Fallback>
        </mc:AlternateContent>
      </w:r>
      <w:r w:rsidR="00F4667C">
        <w:rPr>
          <w:noProof/>
          <w:lang w:eastAsia="en-GB"/>
        </w:rPr>
        <w:drawing>
          <wp:inline distT="0" distB="0" distL="0" distR="0" wp14:anchorId="640F3D52" wp14:editId="37B06D4C">
            <wp:extent cx="1065530" cy="104076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5530" cy="1040765"/>
                    </a:xfrm>
                    <a:prstGeom prst="rect">
                      <a:avLst/>
                    </a:prstGeom>
                    <a:noFill/>
                    <a:ln>
                      <a:noFill/>
                    </a:ln>
                  </pic:spPr>
                </pic:pic>
              </a:graphicData>
            </a:graphic>
          </wp:inline>
        </w:drawing>
      </w:r>
      <w:r w:rsidR="00F4667C">
        <w:t xml:space="preserve">                                                                                                                                            </w:t>
      </w:r>
      <w:r>
        <w:rPr>
          <w:noProof/>
          <w:lang w:eastAsia="en-GB"/>
        </w:rPr>
        <w:drawing>
          <wp:inline distT="0" distB="0" distL="0" distR="0" wp14:anchorId="314B8518" wp14:editId="393DBF5D">
            <wp:extent cx="1065530" cy="1040765"/>
            <wp:effectExtent l="0" t="0" r="1270" b="6985"/>
            <wp:docPr id="3" name="Picture 3" descr="n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p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530" cy="1040765"/>
                    </a:xfrm>
                    <a:prstGeom prst="rect">
                      <a:avLst/>
                    </a:prstGeom>
                    <a:noFill/>
                    <a:ln>
                      <a:noFill/>
                    </a:ln>
                  </pic:spPr>
                </pic:pic>
              </a:graphicData>
            </a:graphic>
          </wp:inline>
        </w:drawing>
      </w:r>
      <w:r w:rsidR="00F4667C">
        <w:t xml:space="preserve">        </w:t>
      </w:r>
    </w:p>
    <w:p w:rsidR="00F41194" w:rsidRDefault="00F41194"/>
    <w:p w:rsidR="00F4667C" w:rsidRDefault="00F4667C"/>
    <w:p w:rsidR="00F4667C" w:rsidRDefault="00F4667C"/>
    <w:p w:rsidR="00305CF3" w:rsidRDefault="00305CF3" w:rsidP="00305CF3">
      <w:pPr>
        <w:autoSpaceDE w:val="0"/>
        <w:autoSpaceDN w:val="0"/>
        <w:adjustRightInd w:val="0"/>
        <w:spacing w:after="0" w:line="240" w:lineRule="auto"/>
        <w:rPr>
          <w:rFonts w:cs="Century Gothic"/>
          <w:b/>
          <w:color w:val="000000"/>
        </w:rPr>
      </w:pPr>
    </w:p>
    <w:p w:rsidR="00305CF3" w:rsidRDefault="00305CF3" w:rsidP="00305CF3">
      <w:pPr>
        <w:autoSpaceDE w:val="0"/>
        <w:autoSpaceDN w:val="0"/>
        <w:adjustRightInd w:val="0"/>
        <w:spacing w:after="0" w:line="240" w:lineRule="auto"/>
        <w:jc w:val="center"/>
        <w:rPr>
          <w:rFonts w:cs="Century Gothic"/>
          <w:b/>
          <w:color w:val="000000"/>
          <w:sz w:val="28"/>
          <w:szCs w:val="28"/>
        </w:rPr>
      </w:pPr>
      <w:r>
        <w:rPr>
          <w:rFonts w:cs="Century Gothic"/>
          <w:b/>
          <w:color w:val="000000"/>
          <w:sz w:val="28"/>
          <w:szCs w:val="28"/>
        </w:rPr>
        <w:t>Safer Recruitment</w:t>
      </w:r>
      <w:bookmarkStart w:id="0" w:name="_GoBack"/>
      <w:bookmarkEnd w:id="0"/>
    </w:p>
    <w:p w:rsidR="00305CF3" w:rsidRDefault="00305CF3" w:rsidP="00305CF3">
      <w:pPr>
        <w:autoSpaceDE w:val="0"/>
        <w:autoSpaceDN w:val="0"/>
        <w:adjustRightInd w:val="0"/>
        <w:spacing w:after="0" w:line="240" w:lineRule="auto"/>
        <w:jc w:val="center"/>
        <w:rPr>
          <w:rFonts w:cs="Century Gothic"/>
          <w:b/>
          <w:color w:val="000000"/>
        </w:rPr>
      </w:pP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The safe recruitment of staff in schools is the first step to safeguarding and promoting the welfare of children in education.</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 xml:space="preserve">St Benedict’s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w:t>
      </w:r>
      <w:proofErr w:type="gramStart"/>
      <w:r>
        <w:rPr>
          <w:rFonts w:cs="Century Gothic"/>
          <w:color w:val="000000"/>
        </w:rPr>
        <w:t>effective</w:t>
      </w:r>
      <w:proofErr w:type="gramEnd"/>
      <w:r>
        <w:rPr>
          <w:rFonts w:cs="Century Gothic"/>
          <w:color w:val="000000"/>
        </w:rPr>
        <w:t xml:space="preserve"> and promotes equality of opportunity. The school will uphold its obligations under law and national collective agreements to not discriminate against applicants for employment on the grounds of age, sex, sexual orientation, marital status, disability, race, colour, nationality, ethnic origin, religion or creed.</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All posts within school are exempt from the Rehabilitation of Offenders Act 1974 and therefore all applicants will be required to declare spent and unspent convictions, cautions and bind- overs, including those regarded as spent and will be subject to an Enhanced Disclosure and Barring Service check with barred list information.</w:t>
      </w: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autoSpaceDE w:val="0"/>
        <w:autoSpaceDN w:val="0"/>
        <w:adjustRightInd w:val="0"/>
        <w:spacing w:after="0" w:line="240" w:lineRule="auto"/>
        <w:rPr>
          <w:rFonts w:cs="Century Gothic,Bold"/>
          <w:b/>
          <w:bCs/>
          <w:color w:val="000000"/>
        </w:rPr>
      </w:pPr>
      <w:r>
        <w:rPr>
          <w:rFonts w:cs="Century Gothic,Bold"/>
          <w:b/>
          <w:bCs/>
          <w:color w:val="000000"/>
        </w:rPr>
        <w:t>Applications</w:t>
      </w:r>
      <w:r>
        <w:rPr>
          <w:rFonts w:cs="Century Gothic,Bold"/>
          <w:b/>
          <w:bCs/>
          <w:color w:val="000000"/>
        </w:rPr>
        <w:br/>
      </w:r>
      <w:r>
        <w:rPr>
          <w:rFonts w:cs="Century Gothic"/>
          <w:color w:val="000000"/>
        </w:rPr>
        <w:t>St Benedict’s Catholic Voluntary Academy uses CES Application Forms for all advertised jobs.</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The school requires candidates to account for any gaps or discrepancies in employment history on this application form. Where an applicant is shortlisted, these gaps will be discussed at interview.</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Applicants should be aware that by submitting an application they are agreeing that the information given is true and correct and that any offer of employment will be made on this basis. Where it is found that false information has been provided this could result in the application being withdrawn or summary dismissal if the applicant has been selected and employment has commenced. This may also result in possible referral to other professional regulatory bodies where appropriate.</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autoSpaceDE w:val="0"/>
        <w:autoSpaceDN w:val="0"/>
        <w:adjustRightInd w:val="0"/>
        <w:spacing w:after="0" w:line="240" w:lineRule="auto"/>
        <w:rPr>
          <w:rFonts w:cs="Century Gothic,Bold"/>
          <w:b/>
          <w:bCs/>
          <w:color w:val="000000"/>
        </w:rPr>
      </w:pPr>
      <w:r>
        <w:rPr>
          <w:rFonts w:cs="Century Gothic,Bold"/>
          <w:b/>
          <w:bCs/>
          <w:color w:val="000000"/>
        </w:rPr>
        <w:t>References</w:t>
      </w:r>
    </w:p>
    <w:p w:rsidR="00305CF3" w:rsidRDefault="00305CF3" w:rsidP="00305CF3">
      <w:pPr>
        <w:numPr>
          <w:ilvl w:val="0"/>
          <w:numId w:val="1"/>
        </w:numPr>
        <w:autoSpaceDE w:val="0"/>
        <w:autoSpaceDN w:val="0"/>
        <w:adjustRightInd w:val="0"/>
        <w:spacing w:after="0" w:line="240" w:lineRule="auto"/>
        <w:contextualSpacing/>
        <w:rPr>
          <w:rFonts w:cs="Century Gothic"/>
          <w:color w:val="000000"/>
        </w:rPr>
      </w:pPr>
      <w:r>
        <w:rPr>
          <w:rFonts w:cs="Century Gothic"/>
          <w:color w:val="000000"/>
        </w:rPr>
        <w:t>A minimum of two references will be sought, one of which must be from current or most recent employer.</w:t>
      </w: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numPr>
          <w:ilvl w:val="0"/>
          <w:numId w:val="1"/>
        </w:numPr>
        <w:autoSpaceDE w:val="0"/>
        <w:autoSpaceDN w:val="0"/>
        <w:adjustRightInd w:val="0"/>
        <w:spacing w:after="0" w:line="240" w:lineRule="auto"/>
        <w:contextualSpacing/>
        <w:rPr>
          <w:rFonts w:cs="Century Gothic"/>
          <w:color w:val="000000"/>
        </w:rPr>
      </w:pPr>
      <w:r>
        <w:rPr>
          <w:rFonts w:cs="Century Gothic"/>
          <w:color w:val="000000"/>
        </w:rPr>
        <w:t>References for shortlisted candidates will be sent for immediately after shortlisting.</w:t>
      </w: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numPr>
          <w:ilvl w:val="0"/>
          <w:numId w:val="1"/>
        </w:numPr>
        <w:autoSpaceDE w:val="0"/>
        <w:autoSpaceDN w:val="0"/>
        <w:adjustRightInd w:val="0"/>
        <w:spacing w:after="0" w:line="240" w:lineRule="auto"/>
        <w:contextualSpacing/>
        <w:rPr>
          <w:rFonts w:cs="Century Gothic"/>
          <w:color w:val="000000"/>
        </w:rPr>
      </w:pPr>
      <w:r>
        <w:rPr>
          <w:rFonts w:cs="Century Gothic"/>
          <w:color w:val="000000"/>
        </w:rPr>
        <w:t>The school has a standard template which is used for all references and does not accept open references, testimonials or references from relatives, a partner or people writing solely in the capacity as a friend.</w:t>
      </w:r>
      <w:r>
        <w:rPr>
          <w:rFonts w:cs="Century Gothic"/>
          <w:color w:val="000000"/>
        </w:rPr>
        <w:br/>
      </w:r>
    </w:p>
    <w:p w:rsidR="00305CF3" w:rsidRDefault="00305CF3" w:rsidP="00305CF3">
      <w:pPr>
        <w:numPr>
          <w:ilvl w:val="0"/>
          <w:numId w:val="1"/>
        </w:numPr>
        <w:autoSpaceDE w:val="0"/>
        <w:autoSpaceDN w:val="0"/>
        <w:adjustRightInd w:val="0"/>
        <w:spacing w:after="0" w:line="240" w:lineRule="auto"/>
        <w:contextualSpacing/>
        <w:rPr>
          <w:rFonts w:cs="Century Gothic"/>
          <w:color w:val="000000"/>
        </w:rPr>
      </w:pPr>
      <w:r>
        <w:rPr>
          <w:rFonts w:cs="Century Gothic"/>
          <w:color w:val="000000"/>
        </w:rPr>
        <w:t xml:space="preserve">Only references from a trusted authoritative source will be acceptable. </w:t>
      </w:r>
    </w:p>
    <w:p w:rsidR="00305CF3" w:rsidRDefault="00305CF3" w:rsidP="00305CF3">
      <w:pPr>
        <w:autoSpaceDE w:val="0"/>
        <w:autoSpaceDN w:val="0"/>
        <w:adjustRightInd w:val="0"/>
        <w:spacing w:after="0" w:line="240" w:lineRule="auto"/>
        <w:ind w:left="720"/>
        <w:contextualSpacing/>
        <w:rPr>
          <w:rFonts w:cs="Century Gothic"/>
          <w:color w:val="000000"/>
        </w:rPr>
      </w:pPr>
    </w:p>
    <w:p w:rsidR="00305CF3" w:rsidRDefault="00305CF3" w:rsidP="00305CF3">
      <w:pPr>
        <w:numPr>
          <w:ilvl w:val="0"/>
          <w:numId w:val="1"/>
        </w:numPr>
        <w:autoSpaceDE w:val="0"/>
        <w:autoSpaceDN w:val="0"/>
        <w:adjustRightInd w:val="0"/>
        <w:spacing w:after="0" w:line="240" w:lineRule="auto"/>
        <w:contextualSpacing/>
        <w:rPr>
          <w:rFonts w:cs="Century Gothic"/>
          <w:color w:val="000000"/>
        </w:rPr>
      </w:pPr>
      <w:r>
        <w:rPr>
          <w:rFonts w:cs="Century Gothic"/>
          <w:color w:val="000000"/>
        </w:rPr>
        <w:t>References will always be sought and obtained directly from the referee.</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Reference requests will specifically ask:</w:t>
      </w:r>
      <w:r>
        <w:rPr>
          <w:rFonts w:cs="Century Gothic"/>
          <w:color w:val="000000"/>
        </w:rPr>
        <w:br/>
      </w:r>
    </w:p>
    <w:p w:rsidR="00305CF3" w:rsidRDefault="00305CF3" w:rsidP="00305CF3">
      <w:pPr>
        <w:numPr>
          <w:ilvl w:val="0"/>
          <w:numId w:val="2"/>
        </w:numPr>
        <w:autoSpaceDE w:val="0"/>
        <w:autoSpaceDN w:val="0"/>
        <w:adjustRightInd w:val="0"/>
        <w:spacing w:after="0" w:line="240" w:lineRule="auto"/>
        <w:contextualSpacing/>
        <w:rPr>
          <w:rFonts w:cs="Century Gothic"/>
          <w:color w:val="000000"/>
        </w:rPr>
      </w:pPr>
      <w:r>
        <w:rPr>
          <w:rFonts w:cs="Century Gothic"/>
          <w:color w:val="000000"/>
        </w:rPr>
        <w:t>About the referee’s relationship with the candidate.</w:t>
      </w: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numPr>
          <w:ilvl w:val="0"/>
          <w:numId w:val="2"/>
        </w:numPr>
        <w:autoSpaceDE w:val="0"/>
        <w:autoSpaceDN w:val="0"/>
        <w:adjustRightInd w:val="0"/>
        <w:spacing w:after="0" w:line="240" w:lineRule="auto"/>
        <w:contextualSpacing/>
        <w:rPr>
          <w:rFonts w:cs="Century Gothic"/>
          <w:color w:val="000000"/>
        </w:rPr>
      </w:pPr>
      <w:r>
        <w:rPr>
          <w:rFonts w:cs="Century Gothic"/>
          <w:color w:val="000000"/>
        </w:rPr>
        <w:t>Whether the referee is completely satisfied that the candidate is suitable to work with children and, if not, for specific details of the concerns and the reasons why the referee believes that the person might be unsuitable.</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Referees will also be asked to confirm details of:</w:t>
      </w:r>
      <w:r>
        <w:rPr>
          <w:rFonts w:cs="Century Gothic"/>
          <w:color w:val="000000"/>
        </w:rPr>
        <w:br/>
      </w:r>
    </w:p>
    <w:p w:rsidR="00305CF3" w:rsidRDefault="00305CF3" w:rsidP="00305CF3">
      <w:pPr>
        <w:numPr>
          <w:ilvl w:val="0"/>
          <w:numId w:val="3"/>
        </w:numPr>
        <w:autoSpaceDE w:val="0"/>
        <w:autoSpaceDN w:val="0"/>
        <w:adjustRightInd w:val="0"/>
        <w:spacing w:after="0" w:line="240" w:lineRule="auto"/>
        <w:contextualSpacing/>
        <w:rPr>
          <w:rFonts w:cs="Century Gothic"/>
          <w:color w:val="000000"/>
        </w:rPr>
      </w:pPr>
      <w:r>
        <w:rPr>
          <w:rFonts w:cs="Century Gothic"/>
          <w:color w:val="000000"/>
        </w:rPr>
        <w:t>The applicant’s current post, salary and attendance record.</w:t>
      </w:r>
    </w:p>
    <w:p w:rsidR="00305CF3" w:rsidRDefault="00305CF3" w:rsidP="00305CF3">
      <w:pPr>
        <w:numPr>
          <w:ilvl w:val="0"/>
          <w:numId w:val="3"/>
        </w:numPr>
        <w:autoSpaceDE w:val="0"/>
        <w:autoSpaceDN w:val="0"/>
        <w:adjustRightInd w:val="0"/>
        <w:spacing w:after="0" w:line="240" w:lineRule="auto"/>
        <w:contextualSpacing/>
        <w:rPr>
          <w:rFonts w:cs="Century Gothic"/>
          <w:color w:val="000000"/>
        </w:rPr>
      </w:pPr>
      <w:r>
        <w:rPr>
          <w:rFonts w:cs="Century Gothic"/>
          <w:color w:val="000000"/>
        </w:rPr>
        <w:t>Performance history and conduct.</w:t>
      </w:r>
    </w:p>
    <w:p w:rsidR="00305CF3" w:rsidRDefault="00305CF3" w:rsidP="00305CF3">
      <w:pPr>
        <w:numPr>
          <w:ilvl w:val="0"/>
          <w:numId w:val="3"/>
        </w:numPr>
        <w:autoSpaceDE w:val="0"/>
        <w:autoSpaceDN w:val="0"/>
        <w:adjustRightInd w:val="0"/>
        <w:spacing w:after="0" w:line="240" w:lineRule="auto"/>
        <w:contextualSpacing/>
        <w:rPr>
          <w:rFonts w:cs="Century Gothic"/>
          <w:color w:val="000000"/>
        </w:rPr>
      </w:pPr>
      <w:r>
        <w:rPr>
          <w:rFonts w:cs="Century Gothic"/>
          <w:color w:val="000000"/>
        </w:rPr>
        <w:t>Any disciplinary procedures in which the sanction is current</w:t>
      </w:r>
    </w:p>
    <w:p w:rsidR="00305CF3" w:rsidRDefault="00305CF3" w:rsidP="00305CF3">
      <w:pPr>
        <w:numPr>
          <w:ilvl w:val="0"/>
          <w:numId w:val="3"/>
        </w:numPr>
        <w:autoSpaceDE w:val="0"/>
        <w:autoSpaceDN w:val="0"/>
        <w:adjustRightInd w:val="0"/>
        <w:spacing w:after="0" w:line="240" w:lineRule="auto"/>
        <w:contextualSpacing/>
        <w:rPr>
          <w:rFonts w:cs="Century Gothic"/>
          <w:color w:val="000000"/>
        </w:rPr>
      </w:pPr>
      <w:r>
        <w:rPr>
          <w:rFonts w:cs="Symbol"/>
          <w:color w:val="000000"/>
        </w:rPr>
        <w:t>A</w:t>
      </w:r>
      <w:r>
        <w:rPr>
          <w:rFonts w:cs="Century Gothic"/>
          <w:color w:val="000000"/>
        </w:rPr>
        <w:t>ny disciplinary procedures involving issues related to the safety and welfare of children, including any in which the sanction has expired and the outcome of those details of any allegations or concerns that have been raised that relate to the safety and welfare of children or behaviour towards children and the outcome of these concerns.</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References will be compared to the application form to ensure that the information provided is consistent. Any discrepancies will be taken up with the applicant at interview.</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Any information about past disciplinary action or allegations will be considered in the circumstances of the individual case.</w:t>
      </w:r>
      <w:r>
        <w:rPr>
          <w:rFonts w:cs="Century Gothic"/>
          <w:color w:val="000000"/>
        </w:rPr>
        <w:br/>
      </w:r>
    </w:p>
    <w:p w:rsidR="00305CF3" w:rsidRDefault="00305CF3" w:rsidP="00305CF3">
      <w:pPr>
        <w:autoSpaceDE w:val="0"/>
        <w:autoSpaceDN w:val="0"/>
        <w:adjustRightInd w:val="0"/>
        <w:spacing w:after="0" w:line="240" w:lineRule="auto"/>
        <w:rPr>
          <w:rFonts w:cs="Century Gothic,Bold"/>
          <w:b/>
          <w:bCs/>
          <w:color w:val="000000"/>
        </w:rPr>
      </w:pPr>
      <w:r>
        <w:rPr>
          <w:rFonts w:cs="Century Gothic,Bold"/>
          <w:b/>
          <w:bCs/>
          <w:color w:val="000000"/>
        </w:rPr>
        <w:t>Self-declaration of convictions by job applicants</w:t>
      </w:r>
      <w:r>
        <w:rPr>
          <w:rFonts w:cs="Century Gothic,Bold"/>
          <w:b/>
          <w:bCs/>
          <w:color w:val="000000"/>
        </w:rPr>
        <w:br/>
      </w:r>
      <w:r>
        <w:rPr>
          <w:rFonts w:cs="Century Gothic"/>
          <w:color w:val="000000"/>
        </w:rPr>
        <w:t>The academy’s policy is to require shortlisted applicants for all posts to declare all criminal convictions whether “spent” or “unspent” and include any cautions, reprimands or warnings and pending prosecution.</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The disclosure of any convictions, cautions, reprimands or warnings or pending cases will not necessarily prevent employment but will be considered in the same way as positive DBS disclosures.</w:t>
      </w:r>
      <w:r>
        <w:rPr>
          <w:rFonts w:cs="Century Gothic"/>
          <w:color w:val="000000"/>
        </w:rPr>
        <w:br/>
      </w:r>
      <w:r>
        <w:rPr>
          <w:rFonts w:cs="Century Gothic"/>
          <w:color w:val="000000"/>
        </w:rPr>
        <w:br/>
      </w:r>
      <w:r>
        <w:rPr>
          <w:rFonts w:cs="Century Gothic"/>
          <w:b/>
          <w:color w:val="000000"/>
        </w:rPr>
        <w:t>Shortlisting</w:t>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 xml:space="preserve">Before the closing date, a panel will be created that will include at least one governor. </w:t>
      </w: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After the closing date, the panel will match your skills/experience against the person specification.</w:t>
      </w:r>
      <w:r>
        <w:rPr>
          <w:rFonts w:cs="Century Gothic"/>
          <w:color w:val="000000"/>
        </w:rPr>
        <w:br/>
      </w:r>
    </w:p>
    <w:p w:rsidR="00305CF3" w:rsidRDefault="00305CF3" w:rsidP="00305CF3">
      <w:pPr>
        <w:autoSpaceDE w:val="0"/>
        <w:autoSpaceDN w:val="0"/>
        <w:adjustRightInd w:val="0"/>
        <w:spacing w:after="0" w:line="240" w:lineRule="auto"/>
        <w:rPr>
          <w:rFonts w:cs="Century Gothic,Bold"/>
          <w:b/>
          <w:bCs/>
          <w:color w:val="D6E3BC" w:themeColor="accent3" w:themeTint="66"/>
          <w:shd w:val="clear" w:color="auto" w:fill="D6E3BC" w:themeFill="accent3" w:themeFillTint="66"/>
        </w:rPr>
      </w:pPr>
      <w:r>
        <w:rPr>
          <w:rFonts w:cs="Century Gothic,Bold"/>
          <w:bCs/>
          <w:color w:val="000000"/>
        </w:rPr>
        <w:t>Selection for interview will be decided entirely on the contents of your application form. Please read the job description and person specification carefully before completing your form.</w:t>
      </w:r>
      <w:r>
        <w:rPr>
          <w:rFonts w:cs="Century Gothic,Bold"/>
          <w:b/>
          <w:bCs/>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b/>
          <w:color w:val="000000"/>
        </w:rPr>
        <w:t>Interview</w:t>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The shortlisting panel will then conduct the arranged interviews. This will always be a face-to-face professional interview.</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The panel will agree the questions to be asked of each candidate and the assessment criteria to be used. In addition to exploring the candidate’s suitability for the post, the panel should explore:</w:t>
      </w:r>
      <w:r>
        <w:rPr>
          <w:rFonts w:cs="Century Gothic"/>
          <w:color w:val="000000"/>
        </w:rPr>
        <w:br/>
      </w:r>
    </w:p>
    <w:p w:rsidR="00305CF3" w:rsidRDefault="00305CF3" w:rsidP="00305CF3">
      <w:pPr>
        <w:numPr>
          <w:ilvl w:val="0"/>
          <w:numId w:val="4"/>
        </w:numPr>
        <w:autoSpaceDE w:val="0"/>
        <w:autoSpaceDN w:val="0"/>
        <w:adjustRightInd w:val="0"/>
        <w:spacing w:after="0" w:line="240" w:lineRule="auto"/>
        <w:contextualSpacing/>
        <w:rPr>
          <w:rFonts w:cs="Century Gothic"/>
          <w:color w:val="000000"/>
        </w:rPr>
      </w:pPr>
      <w:r>
        <w:rPr>
          <w:rFonts w:cs="Century Gothic"/>
          <w:color w:val="000000"/>
        </w:rPr>
        <w:t>the interviewees attitude towards children and young people</w:t>
      </w:r>
    </w:p>
    <w:p w:rsidR="00305CF3" w:rsidRDefault="00305CF3" w:rsidP="00305CF3">
      <w:pPr>
        <w:numPr>
          <w:ilvl w:val="0"/>
          <w:numId w:val="4"/>
        </w:numPr>
        <w:autoSpaceDE w:val="0"/>
        <w:autoSpaceDN w:val="0"/>
        <w:adjustRightInd w:val="0"/>
        <w:spacing w:after="0" w:line="240" w:lineRule="auto"/>
        <w:contextualSpacing/>
        <w:rPr>
          <w:rFonts w:cs="Century Gothic"/>
          <w:color w:val="000000"/>
        </w:rPr>
      </w:pPr>
      <w:r>
        <w:rPr>
          <w:rFonts w:cs="Century Gothic"/>
          <w:color w:val="000000"/>
        </w:rPr>
        <w:t>the interviewees willingness and ability to support the School’s commitment to safeguarding and</w:t>
      </w:r>
    </w:p>
    <w:p w:rsidR="00305CF3" w:rsidRDefault="00305CF3" w:rsidP="00305CF3">
      <w:pPr>
        <w:numPr>
          <w:ilvl w:val="0"/>
          <w:numId w:val="4"/>
        </w:numPr>
        <w:autoSpaceDE w:val="0"/>
        <w:autoSpaceDN w:val="0"/>
        <w:adjustRightInd w:val="0"/>
        <w:spacing w:after="0" w:line="240" w:lineRule="auto"/>
        <w:contextualSpacing/>
        <w:rPr>
          <w:rFonts w:cs="Century Gothic"/>
          <w:color w:val="000000"/>
        </w:rPr>
      </w:pPr>
      <w:r>
        <w:rPr>
          <w:rFonts w:cs="Century Gothic"/>
          <w:color w:val="000000"/>
        </w:rPr>
        <w:t>promoting the safety and welfare of children and young people</w:t>
      </w:r>
    </w:p>
    <w:p w:rsidR="00305CF3" w:rsidRDefault="00305CF3" w:rsidP="00305CF3">
      <w:pPr>
        <w:numPr>
          <w:ilvl w:val="0"/>
          <w:numId w:val="4"/>
        </w:numPr>
        <w:autoSpaceDE w:val="0"/>
        <w:autoSpaceDN w:val="0"/>
        <w:adjustRightInd w:val="0"/>
        <w:spacing w:after="0" w:line="240" w:lineRule="auto"/>
        <w:contextualSpacing/>
        <w:rPr>
          <w:rFonts w:cs="Century Gothic"/>
          <w:color w:val="000000"/>
        </w:rPr>
      </w:pPr>
      <w:r>
        <w:rPr>
          <w:rFonts w:cs="Century Gothic"/>
          <w:color w:val="000000"/>
        </w:rPr>
        <w:t>any unexplained gaps in the candidates employment history</w:t>
      </w:r>
    </w:p>
    <w:p w:rsidR="00305CF3" w:rsidRDefault="00305CF3" w:rsidP="00305CF3">
      <w:pPr>
        <w:numPr>
          <w:ilvl w:val="0"/>
          <w:numId w:val="4"/>
        </w:numPr>
        <w:autoSpaceDE w:val="0"/>
        <w:autoSpaceDN w:val="0"/>
        <w:adjustRightInd w:val="0"/>
        <w:spacing w:after="0" w:line="240" w:lineRule="auto"/>
        <w:contextualSpacing/>
        <w:rPr>
          <w:rFonts w:cs="Century Gothic"/>
          <w:color w:val="000000"/>
        </w:rPr>
      </w:pPr>
      <w:r>
        <w:rPr>
          <w:rFonts w:cs="Century Gothic"/>
          <w:color w:val="000000"/>
        </w:rPr>
        <w:t>any other concerns or discrepancies arising directly from the interview</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A decision will then be made with regard to the appointment(s).</w:t>
      </w: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autoSpaceDE w:val="0"/>
        <w:autoSpaceDN w:val="0"/>
        <w:adjustRightInd w:val="0"/>
        <w:spacing w:after="0" w:line="240" w:lineRule="auto"/>
        <w:rPr>
          <w:rFonts w:cs="Century Gothic"/>
          <w:color w:val="000000"/>
        </w:rPr>
      </w:pPr>
      <w:r>
        <w:rPr>
          <w:rFonts w:cs="Century Gothic"/>
          <w:b/>
          <w:color w:val="000000"/>
        </w:rPr>
        <w:t>Documents to bring to interview</w:t>
      </w:r>
      <w:r>
        <w:rPr>
          <w:rFonts w:cs="Century Gothic"/>
          <w:b/>
          <w:color w:val="000000"/>
        </w:rPr>
        <w:br/>
      </w:r>
      <w:proofErr w:type="gramStart"/>
      <w:r>
        <w:rPr>
          <w:rFonts w:cs="Century Gothic"/>
          <w:color w:val="000000"/>
        </w:rPr>
        <w:t>To</w:t>
      </w:r>
      <w:proofErr w:type="gramEnd"/>
      <w:r>
        <w:rPr>
          <w:rFonts w:cs="Century Gothic"/>
          <w:color w:val="000000"/>
        </w:rPr>
        <w:t xml:space="preserve"> support the recruitment process, we will require you to bring original documents to your interview so that appropriate checks and copies can be taken.</w:t>
      </w:r>
    </w:p>
    <w:p w:rsidR="00305CF3" w:rsidRDefault="00305CF3" w:rsidP="00305CF3">
      <w:pPr>
        <w:autoSpaceDE w:val="0"/>
        <w:autoSpaceDN w:val="0"/>
        <w:adjustRightInd w:val="0"/>
        <w:spacing w:after="0" w:line="240" w:lineRule="auto"/>
        <w:rPr>
          <w:rFonts w:cs="Century Gothic"/>
          <w:b/>
          <w:color w:val="000000"/>
        </w:rPr>
      </w:pP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 xml:space="preserve">If you are selected for interview, you </w:t>
      </w:r>
      <w:r>
        <w:rPr>
          <w:rFonts w:cs="Century Gothic,Bold"/>
          <w:b/>
          <w:bCs/>
          <w:color w:val="000000"/>
        </w:rPr>
        <w:t xml:space="preserve">must </w:t>
      </w:r>
      <w:r>
        <w:rPr>
          <w:rFonts w:cs="Century Gothic"/>
          <w:color w:val="000000"/>
        </w:rPr>
        <w:t>bring the following documents.</w:t>
      </w:r>
      <w:r>
        <w:rPr>
          <w:rFonts w:cs="Century Gothic"/>
          <w:color w:val="000000"/>
        </w:rPr>
        <w:br/>
      </w:r>
    </w:p>
    <w:p w:rsidR="00305CF3" w:rsidRDefault="00305CF3" w:rsidP="00305CF3">
      <w:pPr>
        <w:autoSpaceDE w:val="0"/>
        <w:autoSpaceDN w:val="0"/>
        <w:adjustRightInd w:val="0"/>
        <w:spacing w:after="0" w:line="240" w:lineRule="auto"/>
        <w:rPr>
          <w:rFonts w:cs="Century Gothic,Bold"/>
          <w:b/>
          <w:bCs/>
          <w:color w:val="000000"/>
        </w:rPr>
      </w:pPr>
      <w:r>
        <w:rPr>
          <w:rFonts w:cs="Century Gothic,Bold"/>
          <w:b/>
          <w:bCs/>
          <w:color w:val="000000"/>
        </w:rPr>
        <w:t>Proof of Identification</w:t>
      </w:r>
    </w:p>
    <w:p w:rsidR="00305CF3" w:rsidRDefault="00305CF3" w:rsidP="00305CF3">
      <w:pPr>
        <w:autoSpaceDE w:val="0"/>
        <w:autoSpaceDN w:val="0"/>
        <w:adjustRightInd w:val="0"/>
        <w:spacing w:after="0" w:line="240" w:lineRule="auto"/>
        <w:rPr>
          <w:rFonts w:cs="Century Gothic,Bold"/>
          <w:bCs/>
          <w:color w:val="000000"/>
        </w:rPr>
      </w:pPr>
      <w:r>
        <w:rPr>
          <w:rFonts w:cs="Century Gothic,Bold"/>
          <w:bCs/>
          <w:color w:val="000000"/>
        </w:rPr>
        <w:t>In accordance with Keeping Children Safe in Education, we must see proof of your identity and evidence of your name, date of birth and address. We must also see some form of photographic identity.</w:t>
      </w:r>
    </w:p>
    <w:p w:rsidR="00305CF3" w:rsidRDefault="00305CF3" w:rsidP="00305CF3">
      <w:pPr>
        <w:autoSpaceDE w:val="0"/>
        <w:autoSpaceDN w:val="0"/>
        <w:adjustRightInd w:val="0"/>
        <w:spacing w:after="0" w:line="240" w:lineRule="auto"/>
        <w:rPr>
          <w:rFonts w:cs="Century Gothic,Bold"/>
          <w:b/>
          <w:bCs/>
          <w:color w:val="000000"/>
        </w:rPr>
      </w:pPr>
    </w:p>
    <w:p w:rsidR="00305CF3" w:rsidRDefault="00305CF3" w:rsidP="00305CF3">
      <w:pPr>
        <w:autoSpaceDE w:val="0"/>
        <w:autoSpaceDN w:val="0"/>
        <w:adjustRightInd w:val="0"/>
        <w:spacing w:after="0" w:line="240" w:lineRule="auto"/>
        <w:rPr>
          <w:rFonts w:cs="Century Gothic,Bold"/>
          <w:b/>
          <w:bCs/>
          <w:color w:val="000000"/>
        </w:rPr>
      </w:pPr>
      <w:r>
        <w:rPr>
          <w:rFonts w:cs="Century Gothic,Bold"/>
          <w:b/>
          <w:bCs/>
          <w:color w:val="000000"/>
        </w:rPr>
        <w:t>Eligibility to work in the UK</w:t>
      </w:r>
    </w:p>
    <w:p w:rsidR="00305CF3" w:rsidRDefault="00305CF3" w:rsidP="00305CF3">
      <w:pPr>
        <w:autoSpaceDE w:val="0"/>
        <w:autoSpaceDN w:val="0"/>
        <w:adjustRightInd w:val="0"/>
        <w:spacing w:after="0" w:line="240" w:lineRule="auto"/>
        <w:rPr>
          <w:rFonts w:cs="Century Gothic,Bold"/>
          <w:bCs/>
          <w:color w:val="000000"/>
        </w:rPr>
      </w:pPr>
      <w:r>
        <w:rPr>
          <w:rFonts w:cs="Century Gothic,Bold"/>
          <w:bCs/>
          <w:color w:val="000000"/>
        </w:rPr>
        <w:t>You will need to bring proof of your identity to your interview and of your eligibility to work in the UK. Original photographic documents such as a passport are ideal.</w:t>
      </w:r>
    </w:p>
    <w:p w:rsidR="00305CF3" w:rsidRDefault="00305CF3" w:rsidP="00305CF3">
      <w:pPr>
        <w:autoSpaceDE w:val="0"/>
        <w:autoSpaceDN w:val="0"/>
        <w:adjustRightInd w:val="0"/>
        <w:spacing w:after="0" w:line="240" w:lineRule="auto"/>
        <w:rPr>
          <w:rFonts w:cs="Century Gothic,Bold"/>
          <w:bCs/>
          <w:color w:val="000000"/>
        </w:rPr>
      </w:pPr>
      <w:r>
        <w:rPr>
          <w:rFonts w:cs="Century Gothic,Bold"/>
          <w:bCs/>
          <w:color w:val="000000"/>
        </w:rPr>
        <w:t>A list of documents that can be used for proof of ID and Eligibility to work in the UK can be found in the appendix of this document.</w:t>
      </w:r>
    </w:p>
    <w:p w:rsidR="00305CF3" w:rsidRDefault="00305CF3" w:rsidP="00305CF3">
      <w:pPr>
        <w:autoSpaceDE w:val="0"/>
        <w:autoSpaceDN w:val="0"/>
        <w:adjustRightInd w:val="0"/>
        <w:spacing w:after="0" w:line="240" w:lineRule="auto"/>
        <w:rPr>
          <w:rFonts w:cs="Century Gothic,Bold"/>
          <w:b/>
          <w:bCs/>
          <w:color w:val="000000"/>
        </w:rPr>
      </w:pPr>
    </w:p>
    <w:p w:rsidR="00305CF3" w:rsidRDefault="00305CF3" w:rsidP="00305CF3">
      <w:pPr>
        <w:autoSpaceDE w:val="0"/>
        <w:autoSpaceDN w:val="0"/>
        <w:adjustRightInd w:val="0"/>
        <w:spacing w:after="0" w:line="240" w:lineRule="auto"/>
        <w:rPr>
          <w:rFonts w:cs="Century Gothic,Bold"/>
          <w:bCs/>
          <w:color w:val="000000"/>
        </w:rPr>
      </w:pPr>
    </w:p>
    <w:p w:rsidR="00305CF3" w:rsidRDefault="00305CF3" w:rsidP="00305CF3">
      <w:pPr>
        <w:autoSpaceDE w:val="0"/>
        <w:autoSpaceDN w:val="0"/>
        <w:adjustRightInd w:val="0"/>
        <w:spacing w:after="0" w:line="240" w:lineRule="auto"/>
        <w:rPr>
          <w:rFonts w:cs="Century Gothic,Bold"/>
          <w:bCs/>
          <w:color w:val="000000"/>
        </w:rPr>
      </w:pPr>
    </w:p>
    <w:p w:rsidR="00305CF3" w:rsidRDefault="00305CF3" w:rsidP="00305CF3">
      <w:pPr>
        <w:autoSpaceDE w:val="0"/>
        <w:autoSpaceDN w:val="0"/>
        <w:adjustRightInd w:val="0"/>
        <w:spacing w:after="0" w:line="240" w:lineRule="auto"/>
        <w:rPr>
          <w:rFonts w:cs="Century Gothic,Bold"/>
          <w:bCs/>
          <w:color w:val="000000"/>
        </w:rPr>
      </w:pPr>
    </w:p>
    <w:p w:rsidR="00305CF3" w:rsidRDefault="00305CF3" w:rsidP="00305CF3">
      <w:pPr>
        <w:autoSpaceDE w:val="0"/>
        <w:autoSpaceDN w:val="0"/>
        <w:adjustRightInd w:val="0"/>
        <w:spacing w:after="0" w:line="240" w:lineRule="auto"/>
        <w:rPr>
          <w:rFonts w:cs="Century Gothic,Bold"/>
          <w:bCs/>
          <w:color w:val="000000"/>
        </w:rPr>
      </w:pPr>
    </w:p>
    <w:p w:rsidR="00305CF3" w:rsidRDefault="00305CF3" w:rsidP="00305CF3">
      <w:pPr>
        <w:autoSpaceDE w:val="0"/>
        <w:autoSpaceDN w:val="0"/>
        <w:adjustRightInd w:val="0"/>
        <w:spacing w:after="0" w:line="240" w:lineRule="auto"/>
        <w:rPr>
          <w:rFonts w:cs="Century Gothic,Bold"/>
          <w:b/>
          <w:bCs/>
          <w:color w:val="000000"/>
        </w:rPr>
      </w:pPr>
      <w:r>
        <w:rPr>
          <w:rFonts w:cs="Century Gothic,Bold"/>
          <w:b/>
          <w:bCs/>
          <w:color w:val="000000"/>
        </w:rPr>
        <w:t>Existing DBS Documentation</w:t>
      </w:r>
    </w:p>
    <w:p w:rsidR="00305CF3" w:rsidRDefault="00305CF3" w:rsidP="00305CF3">
      <w:pPr>
        <w:autoSpaceDE w:val="0"/>
        <w:autoSpaceDN w:val="0"/>
        <w:adjustRightInd w:val="0"/>
        <w:spacing w:after="0" w:line="240" w:lineRule="auto"/>
        <w:rPr>
          <w:rFonts w:cs="Century Gothic,Bold"/>
          <w:bCs/>
          <w:color w:val="000000"/>
        </w:rPr>
      </w:pPr>
      <w:r>
        <w:rPr>
          <w:rFonts w:cs="Century Gothic,Bold"/>
          <w:bCs/>
          <w:color w:val="000000"/>
        </w:rPr>
        <w:t xml:space="preserve">If you have a recent/current DBS certificate, please bring the original certificate with you on the day of your interview. </w:t>
      </w:r>
    </w:p>
    <w:p w:rsidR="00305CF3" w:rsidRDefault="00305CF3" w:rsidP="00305CF3">
      <w:pPr>
        <w:autoSpaceDE w:val="0"/>
        <w:autoSpaceDN w:val="0"/>
        <w:adjustRightInd w:val="0"/>
        <w:spacing w:after="0" w:line="240" w:lineRule="auto"/>
        <w:rPr>
          <w:rFonts w:cs="Century Gothic,Bold"/>
          <w:bCs/>
          <w:color w:val="000000"/>
        </w:rPr>
      </w:pPr>
    </w:p>
    <w:p w:rsidR="00305CF3" w:rsidRDefault="00305CF3" w:rsidP="00305CF3">
      <w:pPr>
        <w:autoSpaceDE w:val="0"/>
        <w:autoSpaceDN w:val="0"/>
        <w:adjustRightInd w:val="0"/>
        <w:spacing w:after="0" w:line="240" w:lineRule="auto"/>
        <w:rPr>
          <w:rFonts w:cs="Century Gothic"/>
          <w:color w:val="000000"/>
        </w:rPr>
      </w:pPr>
      <w:r>
        <w:rPr>
          <w:rFonts w:cs="Century Gothic,Bold"/>
          <w:b/>
          <w:bCs/>
          <w:color w:val="000000"/>
        </w:rPr>
        <w:t>Proof of Relevant Qualifications</w:t>
      </w:r>
      <w:r>
        <w:rPr>
          <w:rFonts w:cs="Century Gothic,Bold"/>
          <w:b/>
          <w:bCs/>
          <w:color w:val="000000"/>
        </w:rPr>
        <w:br/>
      </w:r>
      <w:r>
        <w:rPr>
          <w:rFonts w:cs="Century Gothic"/>
          <w:color w:val="000000"/>
        </w:rPr>
        <w:t>Candidates will need to provide evidence of qualifications relevant to the post.</w:t>
      </w:r>
    </w:p>
    <w:p w:rsidR="00305CF3" w:rsidRDefault="00305CF3" w:rsidP="00305CF3">
      <w:pPr>
        <w:autoSpaceDE w:val="0"/>
        <w:autoSpaceDN w:val="0"/>
        <w:adjustRightInd w:val="0"/>
        <w:spacing w:after="0" w:line="240" w:lineRule="auto"/>
        <w:rPr>
          <w:rFonts w:cs="Century Gothic,Bold"/>
          <w:b/>
          <w:bCs/>
          <w:color w:val="000000"/>
        </w:rPr>
      </w:pP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For teaching posts, proof of Qualified Teacher Status (QTS</w:t>
      </w:r>
      <w:proofErr w:type="gramStart"/>
      <w:r>
        <w:rPr>
          <w:rFonts w:cs="Century Gothic"/>
          <w:color w:val="000000"/>
        </w:rPr>
        <w:t>)  will</w:t>
      </w:r>
      <w:proofErr w:type="gramEnd"/>
      <w:r>
        <w:rPr>
          <w:rFonts w:cs="Century Gothic"/>
          <w:color w:val="000000"/>
        </w:rPr>
        <w:t xml:space="preserve"> need to be evidenced.</w:t>
      </w:r>
    </w:p>
    <w:p w:rsidR="00305CF3" w:rsidRDefault="00305CF3" w:rsidP="00305CF3">
      <w:pPr>
        <w:autoSpaceDE w:val="0"/>
        <w:autoSpaceDN w:val="0"/>
        <w:adjustRightInd w:val="0"/>
        <w:spacing w:after="0" w:line="240" w:lineRule="auto"/>
        <w:rPr>
          <w:rFonts w:cs="Century Gothic,Bold"/>
          <w:b/>
          <w:bCs/>
          <w:color w:val="000000"/>
        </w:rPr>
      </w:pPr>
    </w:p>
    <w:p w:rsidR="00305CF3" w:rsidRDefault="00305CF3" w:rsidP="00305CF3">
      <w:pPr>
        <w:autoSpaceDE w:val="0"/>
        <w:autoSpaceDN w:val="0"/>
        <w:adjustRightInd w:val="0"/>
        <w:spacing w:after="0" w:line="240" w:lineRule="auto"/>
        <w:rPr>
          <w:rFonts w:cs="Century Gothic"/>
          <w:color w:val="000000"/>
        </w:rPr>
      </w:pPr>
      <w:r>
        <w:rPr>
          <w:rFonts w:cs="Century Gothic,Bold"/>
          <w:bCs/>
          <w:color w:val="000000"/>
        </w:rPr>
        <w:t>If you are currently training and not yet qualified, please bring your degree certification and any certificates received during training so far. We can only accept original certificates. If you cannot produce original documents or certified copies, written confirmation of your relevant qualifications must be obtained from the awarding body. All academic qualifications, professional/vocational qualifications or memberships as stated on your application form should be evidenced.</w:t>
      </w:r>
      <w:r>
        <w:rPr>
          <w:rFonts w:cs="Century Gothic,Bold"/>
          <w:bCs/>
          <w:color w:val="000000"/>
        </w:rPr>
        <w:br/>
      </w:r>
    </w:p>
    <w:p w:rsidR="00305CF3" w:rsidRDefault="00305CF3" w:rsidP="00305CF3">
      <w:pPr>
        <w:autoSpaceDE w:val="0"/>
        <w:autoSpaceDN w:val="0"/>
        <w:adjustRightInd w:val="0"/>
        <w:spacing w:after="0" w:line="240" w:lineRule="auto"/>
        <w:rPr>
          <w:rFonts w:cs="Century Gothic"/>
          <w:b/>
          <w:color w:val="000000"/>
        </w:rPr>
      </w:pPr>
      <w:r>
        <w:rPr>
          <w:rFonts w:cs="Century Gothic"/>
          <w:b/>
          <w:color w:val="000000"/>
        </w:rPr>
        <w:t>Disqualification Declaration Form</w:t>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Complete the attached Disqualification Declaration Form. Return on the day in a sealed envelope addressed to the Head teacher.</w:t>
      </w: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autoSpaceDE w:val="0"/>
        <w:autoSpaceDN w:val="0"/>
        <w:adjustRightInd w:val="0"/>
        <w:spacing w:after="0" w:line="240" w:lineRule="auto"/>
        <w:rPr>
          <w:rFonts w:cs="Century Gothic"/>
          <w:b/>
          <w:color w:val="000000"/>
        </w:rPr>
      </w:pPr>
      <w:r>
        <w:rPr>
          <w:rFonts w:cs="Century Gothic"/>
          <w:color w:val="000000"/>
        </w:rPr>
        <w:t xml:space="preserve">Please note that you cannot be appointed if you do not comply with these checks or provide false documentation. </w:t>
      </w: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autoSpaceDE w:val="0"/>
        <w:autoSpaceDN w:val="0"/>
        <w:adjustRightInd w:val="0"/>
        <w:spacing w:after="0" w:line="240" w:lineRule="auto"/>
        <w:rPr>
          <w:rFonts w:cs="Century Gothic,Bold"/>
          <w:b/>
          <w:bCs/>
          <w:color w:val="000000"/>
        </w:rPr>
      </w:pPr>
      <w:r>
        <w:rPr>
          <w:rFonts w:cs="Century Gothic,Bold"/>
          <w:b/>
          <w:bCs/>
          <w:color w:val="000000"/>
        </w:rPr>
        <w:t>On Appointment DBS</w:t>
      </w:r>
    </w:p>
    <w:p w:rsidR="00305CF3" w:rsidRDefault="00305CF3" w:rsidP="00305CF3">
      <w:pPr>
        <w:autoSpaceDE w:val="0"/>
        <w:autoSpaceDN w:val="0"/>
        <w:adjustRightInd w:val="0"/>
        <w:spacing w:after="0" w:line="240" w:lineRule="auto"/>
        <w:rPr>
          <w:rFonts w:cs="Century Gothic,Bold"/>
          <w:bCs/>
          <w:color w:val="000000"/>
        </w:rPr>
      </w:pPr>
      <w:r>
        <w:rPr>
          <w:rFonts w:cs="Century Gothic,Bold"/>
          <w:bCs/>
          <w:color w:val="000000"/>
        </w:rPr>
        <w:t>In accordance with safer recruitment guidelines designed to protect young people, we will check your suitability to work with children upon appointment. You will need to undertake an Enhanced Disclosure via the Disclosing and Barring Service (DBS) which involves completing an electronic application for this purpose and provide original supporting documents. Your DBS application cannot progress without school verifying and copying your documentary evidence therefore please ensure you bring sufficient documents to your interview. If providing the documentation will pose any difficulties for you, please contact the School Business Manager as soon as possible.</w:t>
      </w: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autoSpaceDE w:val="0"/>
        <w:autoSpaceDN w:val="0"/>
        <w:adjustRightInd w:val="0"/>
        <w:spacing w:after="0" w:line="240" w:lineRule="auto"/>
        <w:rPr>
          <w:rFonts w:cs="Century Gothic"/>
          <w:b/>
          <w:color w:val="000000"/>
        </w:rPr>
      </w:pPr>
      <w:r>
        <w:rPr>
          <w:rFonts w:cs="Century Gothic"/>
          <w:b/>
          <w:color w:val="000000"/>
        </w:rPr>
        <w:t>Safeguarding</w:t>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Keeping children safe is our number one priority. We ensure that the safety and wellbeing of every child is at the centre of every decision we make.</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r>
        <w:rPr>
          <w:rFonts w:cs="Century Gothic"/>
          <w:color w:val="000000"/>
        </w:rPr>
        <w:t xml:space="preserve">St Benedict’s Primary Catholic Voluntary Academy pays full regard to the </w:t>
      </w:r>
      <w:proofErr w:type="spellStart"/>
      <w:r>
        <w:rPr>
          <w:rFonts w:cs="Century Gothic"/>
          <w:color w:val="000000"/>
        </w:rPr>
        <w:t>DfE</w:t>
      </w:r>
      <w:proofErr w:type="spellEnd"/>
      <w:r>
        <w:rPr>
          <w:rFonts w:cs="Century Gothic"/>
          <w:color w:val="000000"/>
        </w:rPr>
        <w:t xml:space="preserve"> guidance 'Working Together to Safeguard Children, 2015' and 'Keeping Children Safe in Education, September 2016'.</w:t>
      </w:r>
      <w:r>
        <w:rPr>
          <w:rFonts w:cs="Century Gothic"/>
          <w:color w:val="000000"/>
        </w:rPr>
        <w:br/>
      </w: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autoSpaceDE w:val="0"/>
        <w:autoSpaceDN w:val="0"/>
        <w:adjustRightInd w:val="0"/>
        <w:spacing w:after="0" w:line="240" w:lineRule="auto"/>
        <w:rPr>
          <w:rFonts w:cs="Century Gothic"/>
          <w:color w:val="000000"/>
        </w:rPr>
      </w:pPr>
    </w:p>
    <w:p w:rsidR="00305CF3" w:rsidRDefault="00305CF3" w:rsidP="00305CF3">
      <w:pPr>
        <w:autoSpaceDE w:val="0"/>
        <w:autoSpaceDN w:val="0"/>
        <w:adjustRightInd w:val="0"/>
        <w:spacing w:after="0" w:line="240" w:lineRule="auto"/>
        <w:rPr>
          <w:rFonts w:cs="Century Gothic,Bold"/>
          <w:b/>
          <w:bCs/>
          <w:color w:val="000000"/>
        </w:rPr>
      </w:pPr>
      <w:r>
        <w:rPr>
          <w:rFonts w:cs="Century Gothic,Bold"/>
          <w:b/>
          <w:bCs/>
          <w:color w:val="000000"/>
        </w:rPr>
        <w:t>Child Protection Policy</w:t>
      </w:r>
    </w:p>
    <w:p w:rsidR="00305CF3" w:rsidRDefault="00305CF3" w:rsidP="00305CF3">
      <w:pPr>
        <w:autoSpaceDE w:val="0"/>
        <w:autoSpaceDN w:val="0"/>
        <w:adjustRightInd w:val="0"/>
        <w:spacing w:after="0" w:line="240" w:lineRule="auto"/>
        <w:rPr>
          <w:rFonts w:cs="Century Gothic,Bold"/>
          <w:bCs/>
          <w:color w:val="000000"/>
        </w:rPr>
      </w:pPr>
      <w:r>
        <w:rPr>
          <w:rFonts w:cs="Century Gothic,Bold"/>
          <w:bCs/>
          <w:color w:val="000000"/>
        </w:rPr>
        <w:t xml:space="preserve">We are committed to safeguarding and promoting the welfare of our pupils. We have a robust Child Protection Policy and all staff will receive training relevant to their role. </w:t>
      </w:r>
      <w:r>
        <w:rPr>
          <w:rFonts w:cs="Century Gothic,Bold"/>
          <w:bCs/>
          <w:color w:val="000000"/>
        </w:rPr>
        <w:br/>
      </w:r>
    </w:p>
    <w:p w:rsidR="00305CF3" w:rsidRDefault="00305CF3" w:rsidP="00305CF3">
      <w:pPr>
        <w:autoSpaceDE w:val="0"/>
        <w:autoSpaceDN w:val="0"/>
        <w:adjustRightInd w:val="0"/>
        <w:spacing w:after="0" w:line="240" w:lineRule="auto"/>
        <w:rPr>
          <w:rFonts w:cs="Century Gothic,Bold"/>
          <w:bCs/>
          <w:color w:val="000000"/>
        </w:rPr>
      </w:pPr>
    </w:p>
    <w:p w:rsidR="00305CF3" w:rsidRDefault="00305CF3" w:rsidP="00305CF3">
      <w:pPr>
        <w:rPr>
          <w:b/>
        </w:rPr>
      </w:pPr>
      <w:r>
        <w:rPr>
          <w:b/>
        </w:rPr>
        <w:t>Appendix</w:t>
      </w:r>
    </w:p>
    <w:p w:rsidR="00305CF3" w:rsidRDefault="00305CF3" w:rsidP="00305CF3">
      <w:pPr>
        <w:autoSpaceDE w:val="0"/>
        <w:autoSpaceDN w:val="0"/>
        <w:adjustRightInd w:val="0"/>
        <w:spacing w:after="0" w:line="240" w:lineRule="auto"/>
        <w:jc w:val="center"/>
        <w:rPr>
          <w:rFonts w:eastAsia="Calibri" w:cs="Arial"/>
          <w:b/>
          <w:bCs/>
          <w:color w:val="000000"/>
          <w:sz w:val="24"/>
          <w:szCs w:val="20"/>
        </w:rPr>
      </w:pPr>
    </w:p>
    <w:p w:rsidR="00305CF3" w:rsidRDefault="00305CF3" w:rsidP="00305CF3">
      <w:pPr>
        <w:autoSpaceDE w:val="0"/>
        <w:autoSpaceDN w:val="0"/>
        <w:adjustRightInd w:val="0"/>
        <w:spacing w:after="0" w:line="240" w:lineRule="auto"/>
        <w:jc w:val="center"/>
        <w:rPr>
          <w:rFonts w:eastAsia="Calibri" w:cs="Arial"/>
          <w:color w:val="000000"/>
          <w:sz w:val="20"/>
          <w:szCs w:val="20"/>
        </w:rPr>
      </w:pPr>
      <w:r>
        <w:rPr>
          <w:rFonts w:eastAsia="Calibri" w:cs="Arial"/>
          <w:b/>
          <w:bCs/>
          <w:color w:val="000000"/>
          <w:sz w:val="20"/>
          <w:szCs w:val="20"/>
        </w:rPr>
        <w:t>Evidence of Eligibility to Work in the UK</w:t>
      </w:r>
    </w:p>
    <w:p w:rsidR="00305CF3" w:rsidRDefault="00305CF3" w:rsidP="00305CF3">
      <w:pPr>
        <w:autoSpaceDE w:val="0"/>
        <w:autoSpaceDN w:val="0"/>
        <w:adjustRightInd w:val="0"/>
        <w:spacing w:after="0" w:line="240" w:lineRule="auto"/>
        <w:jc w:val="center"/>
        <w:rPr>
          <w:rFonts w:eastAsia="Calibri" w:cs="Arial"/>
          <w:b/>
          <w:bCs/>
          <w:color w:val="000000"/>
          <w:sz w:val="20"/>
          <w:szCs w:val="20"/>
        </w:rPr>
      </w:pPr>
      <w:r>
        <w:rPr>
          <w:rFonts w:eastAsia="Calibri" w:cs="Arial"/>
          <w:b/>
          <w:bCs/>
          <w:color w:val="000000"/>
          <w:sz w:val="20"/>
          <w:szCs w:val="20"/>
        </w:rPr>
        <w:t>Guidance for Applicants</w:t>
      </w:r>
    </w:p>
    <w:p w:rsidR="00305CF3" w:rsidRDefault="00305CF3" w:rsidP="00305CF3">
      <w:pPr>
        <w:autoSpaceDE w:val="0"/>
        <w:autoSpaceDN w:val="0"/>
        <w:adjustRightInd w:val="0"/>
        <w:spacing w:after="0" w:line="240" w:lineRule="auto"/>
        <w:jc w:val="center"/>
        <w:rPr>
          <w:rFonts w:eastAsia="Calibri" w:cs="Arial"/>
          <w:b/>
          <w:bCs/>
          <w:color w:val="000000"/>
          <w:sz w:val="20"/>
          <w:szCs w:val="20"/>
        </w:rPr>
      </w:pPr>
    </w:p>
    <w:p w:rsidR="00305CF3" w:rsidRDefault="00305CF3" w:rsidP="00305CF3">
      <w:pPr>
        <w:autoSpaceDE w:val="0"/>
        <w:autoSpaceDN w:val="0"/>
        <w:adjustRightInd w:val="0"/>
        <w:spacing w:after="0" w:line="240" w:lineRule="auto"/>
        <w:rPr>
          <w:rFonts w:eastAsia="Calibri" w:cs="Arial"/>
          <w:b/>
          <w:bCs/>
          <w:color w:val="000000"/>
          <w:sz w:val="20"/>
          <w:szCs w:val="20"/>
        </w:rPr>
      </w:pPr>
      <w:r>
        <w:rPr>
          <w:rFonts w:eastAsia="Calibri" w:cs="Arial"/>
          <w:b/>
          <w:bCs/>
          <w:color w:val="000000"/>
          <w:sz w:val="20"/>
          <w:szCs w:val="20"/>
        </w:rPr>
        <w:t xml:space="preserve">Immigration, Asylum and Nationality Act 2006 </w:t>
      </w:r>
    </w:p>
    <w:p w:rsidR="00305CF3" w:rsidRDefault="00305CF3" w:rsidP="00305CF3">
      <w:pPr>
        <w:autoSpaceDE w:val="0"/>
        <w:autoSpaceDN w:val="0"/>
        <w:adjustRightInd w:val="0"/>
        <w:spacing w:after="0" w:line="240" w:lineRule="auto"/>
        <w:rPr>
          <w:rFonts w:eastAsia="Calibri" w:cs="Arial"/>
          <w:color w:val="000000"/>
          <w:sz w:val="20"/>
          <w:szCs w:val="20"/>
        </w:rPr>
      </w:pP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color w:val="000000"/>
          <w:sz w:val="20"/>
          <w:szCs w:val="20"/>
        </w:rPr>
        <w:t xml:space="preserve">Sections 15-25 of the Immigration, Asylum and Nationality Act 2006, which set out the law on the prevention of illegal migrant working, came into force on 29 February 2008. </w:t>
      </w: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color w:val="000000"/>
          <w:sz w:val="20"/>
          <w:szCs w:val="20"/>
        </w:rPr>
        <w:t xml:space="preserve">It is a criminal offence for an employer to employ staff whose immigration status prevents them from working in this country. This means that, in order to comply with this Act, RKLT must ensure that </w:t>
      </w:r>
      <w:r>
        <w:rPr>
          <w:rFonts w:eastAsia="Calibri" w:cs="Arial"/>
          <w:b/>
          <w:bCs/>
          <w:color w:val="000000"/>
          <w:sz w:val="20"/>
          <w:szCs w:val="20"/>
        </w:rPr>
        <w:t xml:space="preserve">all </w:t>
      </w:r>
      <w:r>
        <w:rPr>
          <w:rFonts w:eastAsia="Calibri" w:cs="Arial"/>
          <w:color w:val="000000"/>
          <w:sz w:val="20"/>
          <w:szCs w:val="20"/>
        </w:rPr>
        <w:t xml:space="preserve">prospective employees and casual staff who are due to commence work on or after 29 February 2008 have the right to work in the UK </w:t>
      </w:r>
      <w:r>
        <w:rPr>
          <w:rFonts w:eastAsia="Calibri" w:cs="Arial"/>
          <w:b/>
          <w:bCs/>
          <w:color w:val="000000"/>
          <w:sz w:val="20"/>
          <w:szCs w:val="20"/>
        </w:rPr>
        <w:t xml:space="preserve">before </w:t>
      </w:r>
      <w:r>
        <w:rPr>
          <w:rFonts w:eastAsia="Calibri" w:cs="Arial"/>
          <w:color w:val="000000"/>
          <w:sz w:val="20"/>
          <w:szCs w:val="20"/>
        </w:rPr>
        <w:t xml:space="preserve">they commence employment. </w:t>
      </w:r>
    </w:p>
    <w:p w:rsidR="00305CF3" w:rsidRDefault="00305CF3" w:rsidP="00305CF3">
      <w:pPr>
        <w:autoSpaceDE w:val="0"/>
        <w:autoSpaceDN w:val="0"/>
        <w:adjustRightInd w:val="0"/>
        <w:spacing w:after="0" w:line="240" w:lineRule="auto"/>
        <w:rPr>
          <w:rFonts w:eastAsia="Calibri" w:cs="Arial"/>
          <w:color w:val="000000"/>
          <w:sz w:val="20"/>
          <w:szCs w:val="20"/>
        </w:rPr>
      </w:pP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color w:val="000000"/>
          <w:sz w:val="20"/>
          <w:szCs w:val="20"/>
        </w:rPr>
        <w:t xml:space="preserve">In order that the RKLT and Oatlands Junior School complies with the law, </w:t>
      </w:r>
      <w:r>
        <w:rPr>
          <w:rFonts w:eastAsia="Calibri" w:cs="Arial"/>
          <w:b/>
          <w:bCs/>
          <w:color w:val="000000"/>
          <w:sz w:val="20"/>
          <w:szCs w:val="20"/>
        </w:rPr>
        <w:t xml:space="preserve">please bring along to your interview </w:t>
      </w:r>
      <w:r>
        <w:rPr>
          <w:rFonts w:eastAsia="Calibri" w:cs="Arial"/>
          <w:color w:val="000000"/>
          <w:sz w:val="20"/>
          <w:szCs w:val="20"/>
        </w:rPr>
        <w:t xml:space="preserve">an original document showing that you are eligible to work in the UK. </w:t>
      </w:r>
      <w:r>
        <w:rPr>
          <w:rFonts w:eastAsia="Calibri" w:cs="Arial"/>
          <w:b/>
          <w:bCs/>
          <w:color w:val="000000"/>
          <w:sz w:val="20"/>
          <w:szCs w:val="20"/>
        </w:rPr>
        <w:t xml:space="preserve">Remember the law states that we must photocopy an original document. </w:t>
      </w:r>
    </w:p>
    <w:p w:rsidR="00305CF3" w:rsidRDefault="00305CF3" w:rsidP="00305CF3">
      <w:pPr>
        <w:autoSpaceDE w:val="0"/>
        <w:autoSpaceDN w:val="0"/>
        <w:adjustRightInd w:val="0"/>
        <w:spacing w:after="0" w:line="240" w:lineRule="auto"/>
        <w:rPr>
          <w:rFonts w:eastAsia="Calibri" w:cs="Arial"/>
          <w:color w:val="000000"/>
          <w:sz w:val="20"/>
          <w:szCs w:val="20"/>
        </w:rPr>
      </w:pP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color w:val="000000"/>
          <w:sz w:val="20"/>
          <w:szCs w:val="20"/>
        </w:rPr>
        <w:t xml:space="preserve">You are asked to provide an original document or combination of documents from </w:t>
      </w:r>
      <w:r>
        <w:rPr>
          <w:rFonts w:eastAsia="Calibri" w:cs="Arial"/>
          <w:color w:val="000000"/>
          <w:sz w:val="20"/>
          <w:szCs w:val="20"/>
          <w:u w:val="single"/>
        </w:rPr>
        <w:t xml:space="preserve">EITHER </w:t>
      </w:r>
      <w:r>
        <w:rPr>
          <w:rFonts w:eastAsia="Calibri" w:cs="Arial"/>
          <w:b/>
          <w:bCs/>
          <w:color w:val="000000"/>
          <w:sz w:val="20"/>
          <w:szCs w:val="20"/>
        </w:rPr>
        <w:t xml:space="preserve">List A (documents which establish an ongoing entitlement to work in the UK) </w:t>
      </w:r>
      <w:r>
        <w:rPr>
          <w:rFonts w:eastAsia="Calibri" w:cs="Arial"/>
          <w:color w:val="000000"/>
          <w:sz w:val="20"/>
          <w:szCs w:val="20"/>
          <w:u w:val="single"/>
        </w:rPr>
        <w:t xml:space="preserve">OR </w:t>
      </w:r>
      <w:r>
        <w:rPr>
          <w:rFonts w:eastAsia="Calibri" w:cs="Arial"/>
          <w:color w:val="000000"/>
          <w:sz w:val="20"/>
          <w:szCs w:val="20"/>
        </w:rPr>
        <w:t xml:space="preserve">List </w:t>
      </w:r>
      <w:r>
        <w:rPr>
          <w:rFonts w:eastAsia="Calibri" w:cs="Arial"/>
          <w:b/>
          <w:bCs/>
          <w:color w:val="000000"/>
          <w:sz w:val="20"/>
          <w:szCs w:val="20"/>
        </w:rPr>
        <w:t>B (documents which indicate restrictions on entitlement to work in the UK)</w:t>
      </w:r>
      <w:r>
        <w:rPr>
          <w:rFonts w:eastAsia="Calibri" w:cs="Arial"/>
          <w:b/>
          <w:bCs/>
          <w:i/>
          <w:iCs/>
          <w:color w:val="000000"/>
          <w:sz w:val="20"/>
          <w:szCs w:val="20"/>
        </w:rPr>
        <w:t xml:space="preserve">, </w:t>
      </w:r>
      <w:r>
        <w:rPr>
          <w:rFonts w:eastAsia="Calibri" w:cs="Arial"/>
          <w:color w:val="000000"/>
          <w:sz w:val="20"/>
          <w:szCs w:val="20"/>
        </w:rPr>
        <w:t xml:space="preserve">if you provide documents from List B, Oatlands Junior School will check your continuing eligibility to work at least every twelve months or until the time-limited restriction expires or you are able to produce a document from List A. </w:t>
      </w: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color w:val="000000"/>
          <w:sz w:val="20"/>
          <w:szCs w:val="20"/>
        </w:rPr>
        <w:t xml:space="preserve">For further information on </w:t>
      </w:r>
      <w:r>
        <w:rPr>
          <w:rFonts w:eastAsia="Calibri" w:cs="Arial"/>
          <w:b/>
          <w:bCs/>
          <w:color w:val="000000"/>
          <w:sz w:val="20"/>
          <w:szCs w:val="20"/>
        </w:rPr>
        <w:t xml:space="preserve">Immigration, Asylum and Nationality Act 2006 </w:t>
      </w:r>
      <w:r>
        <w:rPr>
          <w:rFonts w:eastAsia="Calibri" w:cs="Arial"/>
          <w:color w:val="000000"/>
          <w:sz w:val="20"/>
          <w:szCs w:val="20"/>
        </w:rPr>
        <w:t xml:space="preserve">please visit the official government website - </w:t>
      </w:r>
      <w:r>
        <w:rPr>
          <w:rFonts w:eastAsia="Calibri" w:cs="Arial"/>
          <w:color w:val="000000"/>
          <w:sz w:val="20"/>
          <w:szCs w:val="20"/>
          <w:u w:val="single"/>
        </w:rPr>
        <w:t xml:space="preserve">www.ukba.homeoffice.gov.uk/workingintheuk </w:t>
      </w:r>
    </w:p>
    <w:p w:rsidR="00305CF3" w:rsidRDefault="00305CF3" w:rsidP="00305CF3">
      <w:pPr>
        <w:autoSpaceDE w:val="0"/>
        <w:autoSpaceDN w:val="0"/>
        <w:adjustRightInd w:val="0"/>
        <w:spacing w:after="0" w:line="240" w:lineRule="auto"/>
        <w:rPr>
          <w:rFonts w:eastAsia="Calibri" w:cs="Arial"/>
          <w:b/>
          <w:bCs/>
          <w:color w:val="000000"/>
          <w:sz w:val="20"/>
          <w:szCs w:val="20"/>
        </w:rPr>
      </w:pP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b/>
          <w:bCs/>
          <w:color w:val="000000"/>
          <w:sz w:val="20"/>
          <w:szCs w:val="20"/>
        </w:rPr>
        <w:t xml:space="preserve">LIST A – DOCUMENTS WHICH ESTABLISH AN ONGOING ENTITLEMENT TO WORK IN THE UK </w:t>
      </w: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b/>
          <w:bCs/>
          <w:color w:val="000000"/>
          <w:sz w:val="20"/>
          <w:szCs w:val="20"/>
        </w:rPr>
        <w:t xml:space="preserve">1. </w:t>
      </w:r>
      <w:r>
        <w:rPr>
          <w:rFonts w:eastAsia="Calibri" w:cs="Arial"/>
          <w:color w:val="000000"/>
          <w:sz w:val="20"/>
          <w:szCs w:val="20"/>
        </w:rPr>
        <w:t xml:space="preserve">A passport showing that the holder, or a person named in the passport as the child of the holder, is a British citizen or a citizen of the United Kingdom and Colonies having the right of abode in the United Kingdom. </w:t>
      </w: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b/>
          <w:bCs/>
          <w:color w:val="000000"/>
          <w:sz w:val="20"/>
          <w:szCs w:val="20"/>
        </w:rPr>
        <w:t xml:space="preserve">2. </w:t>
      </w:r>
      <w:r>
        <w:rPr>
          <w:rFonts w:eastAsia="Calibri" w:cs="Arial"/>
          <w:color w:val="000000"/>
          <w:sz w:val="20"/>
          <w:szCs w:val="20"/>
        </w:rPr>
        <w:t xml:space="preserve">A passport or national identity card showing that the holder, or a person named in the passport as the child of the holder, is a national of the European Economic Area or </w:t>
      </w: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color w:val="000000"/>
          <w:sz w:val="20"/>
          <w:szCs w:val="20"/>
        </w:rPr>
        <w:t xml:space="preserve">Switzerland. </w:t>
      </w: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b/>
          <w:bCs/>
          <w:color w:val="000000"/>
          <w:sz w:val="20"/>
          <w:szCs w:val="20"/>
        </w:rPr>
        <w:t xml:space="preserve">3. </w:t>
      </w:r>
      <w:r>
        <w:rPr>
          <w:rFonts w:eastAsia="Calibri" w:cs="Arial"/>
          <w:color w:val="000000"/>
          <w:sz w:val="20"/>
          <w:szCs w:val="20"/>
        </w:rPr>
        <w:t xml:space="preserve">A residence permit, registration certificate or document certifying or indicating permanent residence issued by the Home Office or the Border and Immigration Agency to a national of a European Economic Area country or Switzerland. </w:t>
      </w: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b/>
          <w:bCs/>
          <w:color w:val="000000"/>
          <w:sz w:val="20"/>
          <w:szCs w:val="20"/>
        </w:rPr>
        <w:t xml:space="preserve">4. </w:t>
      </w:r>
      <w:r>
        <w:rPr>
          <w:rFonts w:eastAsia="Calibri" w:cs="Arial"/>
          <w:color w:val="000000"/>
          <w:sz w:val="20"/>
          <w:szCs w:val="20"/>
        </w:rPr>
        <w:t xml:space="preserve">A permanent residence card issued by the Home Office or the Border and Immigration Agency to the family member of a national of a European Economic Area country or </w:t>
      </w: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color w:val="000000"/>
          <w:sz w:val="20"/>
          <w:szCs w:val="20"/>
        </w:rPr>
        <w:t xml:space="preserve">Switzerland. </w:t>
      </w:r>
    </w:p>
    <w:p w:rsidR="00305CF3" w:rsidRDefault="00305CF3" w:rsidP="00305CF3">
      <w:pPr>
        <w:autoSpaceDE w:val="0"/>
        <w:autoSpaceDN w:val="0"/>
        <w:adjustRightInd w:val="0"/>
        <w:spacing w:after="0" w:line="240" w:lineRule="auto"/>
        <w:rPr>
          <w:rFonts w:eastAsia="Calibri" w:cs="Arial"/>
          <w:color w:val="000000"/>
          <w:sz w:val="20"/>
          <w:szCs w:val="20"/>
        </w:rPr>
      </w:pPr>
      <w:r>
        <w:rPr>
          <w:rFonts w:eastAsia="Calibri" w:cs="Arial"/>
          <w:b/>
          <w:bCs/>
          <w:color w:val="000000"/>
          <w:sz w:val="20"/>
          <w:szCs w:val="20"/>
        </w:rPr>
        <w:t xml:space="preserve">5. </w:t>
      </w:r>
      <w:r>
        <w:rPr>
          <w:rFonts w:eastAsia="Calibri" w:cs="Arial"/>
          <w:color w:val="000000"/>
          <w:sz w:val="20"/>
          <w:szCs w:val="20"/>
        </w:rPr>
        <w:t>A Biometric Immigration Document issued by the Border and Immigration Agency to the holder which indicates that the person named in it is allowed to stay indefinitely in the United Kingdom, or has no time limit on their stay in the United Kingdom</w:t>
      </w:r>
    </w:p>
    <w:p w:rsidR="00305CF3" w:rsidRDefault="00305CF3" w:rsidP="00305CF3">
      <w:pPr>
        <w:spacing w:after="0" w:line="240" w:lineRule="auto"/>
        <w:rPr>
          <w:rFonts w:eastAsia="Calibri" w:cs="Arial"/>
          <w:color w:val="000000"/>
          <w:sz w:val="20"/>
          <w:szCs w:val="20"/>
        </w:rPr>
        <w:sectPr w:rsidR="00305CF3" w:rsidSect="00305CF3">
          <w:pgSz w:w="12240" w:h="15840"/>
          <w:pgMar w:top="1418" w:right="851" w:bottom="1440" w:left="851" w:header="720" w:footer="720" w:gutter="0"/>
          <w:cols w:space="720"/>
          <w:docGrid w:linePitch="299"/>
        </w:sectPr>
      </w:pPr>
    </w:p>
    <w:p w:rsidR="00305CF3" w:rsidRDefault="00305CF3"/>
    <w:sectPr w:rsidR="00305CF3" w:rsidSect="00F466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570C"/>
    <w:multiLevelType w:val="hybridMultilevel"/>
    <w:tmpl w:val="3D507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CD5310D"/>
    <w:multiLevelType w:val="hybridMultilevel"/>
    <w:tmpl w:val="1B200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2B921DD"/>
    <w:multiLevelType w:val="hybridMultilevel"/>
    <w:tmpl w:val="ABC2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8225E4A"/>
    <w:multiLevelType w:val="hybridMultilevel"/>
    <w:tmpl w:val="EC0AE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7C"/>
    <w:rsid w:val="00305CF3"/>
    <w:rsid w:val="00F41194"/>
    <w:rsid w:val="00F4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67C"/>
    <w:pPr>
      <w:spacing w:after="0" w:line="240" w:lineRule="auto"/>
    </w:pPr>
  </w:style>
  <w:style w:type="paragraph" w:styleId="BalloonText">
    <w:name w:val="Balloon Text"/>
    <w:basedOn w:val="Normal"/>
    <w:link w:val="BalloonTextChar"/>
    <w:uiPriority w:val="99"/>
    <w:semiHidden/>
    <w:unhideWhenUsed/>
    <w:rsid w:val="00F4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67C"/>
    <w:pPr>
      <w:spacing w:after="0" w:line="240" w:lineRule="auto"/>
    </w:pPr>
  </w:style>
  <w:style w:type="paragraph" w:styleId="BalloonText">
    <w:name w:val="Balloon Text"/>
    <w:basedOn w:val="Normal"/>
    <w:link w:val="BalloonTextChar"/>
    <w:uiPriority w:val="99"/>
    <w:semiHidden/>
    <w:unhideWhenUsed/>
    <w:rsid w:val="00F4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832">
      <w:bodyDiv w:val="1"/>
      <w:marLeft w:val="0"/>
      <w:marRight w:val="0"/>
      <w:marTop w:val="0"/>
      <w:marBottom w:val="0"/>
      <w:divBdr>
        <w:top w:val="none" w:sz="0" w:space="0" w:color="auto"/>
        <w:left w:val="none" w:sz="0" w:space="0" w:color="auto"/>
        <w:bottom w:val="none" w:sz="0" w:space="0" w:color="auto"/>
        <w:right w:val="none" w:sz="0" w:space="0" w:color="auto"/>
      </w:divBdr>
    </w:div>
    <w:div w:id="803158920">
      <w:bodyDiv w:val="1"/>
      <w:marLeft w:val="0"/>
      <w:marRight w:val="0"/>
      <w:marTop w:val="0"/>
      <w:marBottom w:val="0"/>
      <w:divBdr>
        <w:top w:val="none" w:sz="0" w:space="0" w:color="auto"/>
        <w:left w:val="none" w:sz="0" w:space="0" w:color="auto"/>
        <w:bottom w:val="none" w:sz="0" w:space="0" w:color="auto"/>
        <w:right w:val="none" w:sz="0" w:space="0" w:color="auto"/>
      </w:divBdr>
    </w:div>
    <w:div w:id="1079212877">
      <w:bodyDiv w:val="1"/>
      <w:marLeft w:val="0"/>
      <w:marRight w:val="0"/>
      <w:marTop w:val="0"/>
      <w:marBottom w:val="0"/>
      <w:divBdr>
        <w:top w:val="none" w:sz="0" w:space="0" w:color="auto"/>
        <w:left w:val="none" w:sz="0" w:space="0" w:color="auto"/>
        <w:bottom w:val="none" w:sz="0" w:space="0" w:color="auto"/>
        <w:right w:val="none" w:sz="0" w:space="0" w:color="auto"/>
      </w:divBdr>
    </w:div>
    <w:div w:id="16740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Deborah</dc:creator>
  <cp:lastModifiedBy>Smith, Deborah</cp:lastModifiedBy>
  <cp:revision>2</cp:revision>
  <dcterms:created xsi:type="dcterms:W3CDTF">2017-04-04T09:29:00Z</dcterms:created>
  <dcterms:modified xsi:type="dcterms:W3CDTF">2017-04-04T09:29:00Z</dcterms:modified>
</cp:coreProperties>
</file>