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The Durham Federation </w:t>
        <w:tab/>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JOB DESCRIPTION</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Classroom teacher - Maths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Core purpose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To provide a high quality educational experience for all students.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General duties and responsibilities:</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To carry out the duties of a school teacher as set out in the Teachers’ Standards 2012</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To continue to meet the required standards for Qualified Teacher Status</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To promote learning outside the classroom including after school activities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Main areas of responsibility: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Knowledge and understanding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Have knowledge of and keep up-to-date with the National Curriculum for Maths and all other relevant curriculum developments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Understand how students’ learning is affected by their physical, intellectual, emotional and social development and understand the stages of child development</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Select and make good use of ICT skills for classroom and management support</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Be familiar with the college’s current systems and structures as outlined in policy documents including the Health and Safety and Child Protection Policies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Understand and know how national and local comparative and school data including National Curriculum test data can be used to set clear targets for student achievement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Planning, teaching and class management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Plan and deliver the teaching programme for all students within the class in relation to Maths with regard for the Federation’s aim statement, own policies and schemes of work</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Provide clear structures for lessons and for sequences of lessons, which maintain pace, motivation and challenge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Make effective use of assessment information on students’ attainment and progress and in planning future lessons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Ensure effective teaching of whole classes, groups and individuals, establishing high expectations of behaviour and attainment, so that teaching objectives are met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Monitor and intervene when teaching to ensure sound learning and discipline and maintain a safe environment in which pupils feel confident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Use a variety of teaching and learning styles to keep all students engaged</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Be familiar with the Code of Practice and identification, assessment and support of students with special educational needs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Evaluate your own teaching critically to improve effectiveness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Monitoring, assessment, recording, reporting and accountability</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Assess and record each student’s progress systematically with reference to the Federation’s current practice, including the social progress of each child and use the results to inform planning</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Mark and monitor classwork and homework, providing constructive feedback and setting targets for future progress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Provide reports on individual progress to the Leadership Team and parents as required</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Mark and monitor student attendance and reintegration including package of support where appropriate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Coordinate work for students with long term absence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Other professional requirements</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Establish and maintain effective working relationships with professional colleagues and parents</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Participate as required in meetings with professional colleagues and parents in respect of the duties and responsibilities of the post</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Be aware of the need to take responsibility for your own professional development</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Commit fully to the objectives of the Federation Improvement Plan</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Have high aspirations for yourself, the Federation and the students in your care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All staff are employed by The Durham Federation and as such may be required to work on either of our school sites.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Signed: </w:t>
        <w:tab/>
        <w:t xml:space="preserve">_______________________________</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Date:</w:t>
        <w:tab/>
        <w:tab/>
        <w:t xml:space="preserve">_______________________________</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sz w:val="20"/>
          <w:szCs w:val="20"/>
        </w:rPr>
      </w:pPr>
      <w:r w:rsidDel="00000000" w:rsidR="00000000" w:rsidRPr="00000000">
        <w:rPr>
          <w:rtl w:val="0"/>
        </w:rPr>
      </w:r>
    </w:p>
    <w:sectPr>
      <w:headerReference r:id="rId5" w:type="default"/>
      <w:footerReference r:id="rId6" w:type="default"/>
      <w:pgSz w:h="16838" w:w="11906"/>
      <w:pgMar w:bottom="0" w:top="0" w:left="576" w:right="57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ind w:right="-722.3999999999995"/>
      <w:contextualSpacing w:val="0"/>
      <w:jc w:val="left"/>
      <w:rPr>
        <w:color w:val="0000ff"/>
        <w:sz w:val="16"/>
        <w:szCs w:val="16"/>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-561974</wp:posOffset>
          </wp:positionH>
          <wp:positionV relativeFrom="paragraph">
            <wp:posOffset>23813</wp:posOffset>
          </wp:positionV>
          <wp:extent cx="8020050" cy="124301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56426" l="0" r="0" t="0"/>
                  <a:stretch>
                    <a:fillRect/>
                  </a:stretch>
                </pic:blipFill>
                <pic:spPr>
                  <a:xfrm>
                    <a:off x="0" y="0"/>
                    <a:ext cx="8020050" cy="1243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