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THE DURHAM FEDERATION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PERSONAL SPECIFICATION AND CRITERIA FOR SELECTION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(TEACHER –Maths)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705.0" w:type="dxa"/>
        <w:jc w:val="left"/>
        <w:tblInd w:w="-120.0" w:type="dxa"/>
        <w:tblLayout w:type="fixed"/>
        <w:tblLook w:val="0400"/>
      </w:tblPr>
      <w:tblGrid>
        <w:gridCol w:w="2595"/>
        <w:gridCol w:w="6540"/>
        <w:gridCol w:w="6570"/>
        <w:tblGridChange w:id="0">
          <w:tblGrid>
            <w:gridCol w:w="2595"/>
            <w:gridCol w:w="6540"/>
            <w:gridCol w:w="657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Supportive reference/s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Well-structured supporting letter (no longer than 2 sides of A4)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Qualified Teacher status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Degree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Further professional Qualifications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knowledge and understanding of the national expectations in relation to Maths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successfully as a member of a curriculum area in a school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Successful teaching of Maths, with lesson observations that are good or outstanding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Literacy/Numeracy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proven track record of raising academic standards in Maths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proven track record of developing an appropriate  Maths curriculum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knowledge and understanding of use of data to establish benchmarks and set targets for improvement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clear understanding of the role of data and Intervention on raising standards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Teaching experience in more than one establishment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responsibilities over and above class teaching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showing good progress for students in Maths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CPD which has had impact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active interest in staff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communicate effectively in a variety of situations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Developing leadership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level of emotional intelligence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Can offer a range of teaching styles and possibly other   subject/s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SPECIAL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clear vision and understanding of the needs of students including those with special needs, gifted and talented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Appreciates role of school within its community and vice versa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Supportive of the school’s safeguarding procedures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ICT in supporting all aspects of school and professional life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ATTRIBUTES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standards of integrity and be a positive role model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demonstrate enthusiasm and sensitivity whilst working with others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initiate and manage change with successful outcomes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Caring attitude towards students and parents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Emotional stability, can cope with pressure and use humour to good effect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Ambition to progress further in due course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Flexibility and adaptability in order to be able to mix and work with a wide range of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line="276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Interests beyond teaching/school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-360996</wp:posOffset>
          </wp:positionH>
          <wp:positionV relativeFrom="paragraph">
            <wp:posOffset>85725</wp:posOffset>
          </wp:positionV>
          <wp:extent cx="10714673" cy="124777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714673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