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9"/>
        <w:gridCol w:w="2866"/>
        <w:gridCol w:w="2529"/>
        <w:gridCol w:w="5495"/>
        <w:gridCol w:w="2330"/>
        <w:tblGridChange w:id="0">
          <w:tblGrid>
            <w:gridCol w:w="1239"/>
            <w:gridCol w:w="2866"/>
            <w:gridCol w:w="2529"/>
            <w:gridCol w:w="5495"/>
            <w:gridCol w:w="2330"/>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w:t>
              <w:tab/>
            </w:r>
            <w:r w:rsidDel="00000000" w:rsidR="00000000" w:rsidRPr="00000000">
              <w:rPr>
                <w:vertAlign w:val="baseline"/>
                <w:rtl w:val="0"/>
              </w:rPr>
              <w:t xml:space="preserve">Play Worker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w:t>
              <w:tab/>
            </w:r>
            <w:r w:rsidDel="00000000" w:rsidR="00000000" w:rsidRPr="00000000">
              <w:rPr>
                <w:vertAlign w:val="baseline"/>
                <w:rtl w:val="0"/>
              </w:rPr>
              <w:t xml:space="preserve">Children’s Services Group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ab/>
              <w:tab/>
              <w:tab/>
              <w:tab/>
              <w:t xml:space="preserve">Education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Band 3</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Northumberland</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JE ref: 720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w:t>
            </w:r>
            <w:r w:rsidDel="00000000" w:rsidR="00000000" w:rsidRPr="00000000">
              <w:rPr>
                <w:b w:val="1"/>
                <w:sz w:val="24"/>
                <w:szCs w:val="24"/>
                <w:vertAlign w:val="baseline"/>
                <w:rtl w:val="0"/>
              </w:rPr>
              <w:t xml:space="preserve"> </w:t>
            </w:r>
            <w:r w:rsidDel="00000000" w:rsidR="00000000" w:rsidRPr="00000000">
              <w:rPr>
                <w:vertAlign w:val="baseline"/>
                <w:rtl w:val="0"/>
              </w:rPr>
              <w:t xml:space="preserve">Community Play Officer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April 2013</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 w:firstLine="0"/>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assist in the delivery of a quality, co-ordinated play service</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operate across a variety of venues, consulting and supporting children and young people and engaging with parents/carers.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promote effective relationships with customers, both internal and external</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assist the Community Play officer in promoting the benefits of play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Nil</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Nil</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Regular travel to a range of settings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Responsibility for handling and transporting resources to deliver play sessions across the county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Children and young people engaged in play activities delivered by Play Team and school staff and others  who have commissioned Play Team’s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Provide and promote inclusive play opportunities for children and young people,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To consult with children and young people on play opportunities they would like to develop</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Undertaking small scale satisfaction surveys relating to the service.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To provide structured and open play sessions in a variety of settings.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To enable children and young people to develop and organise new projects and events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To work in close partnership with schools, clubs and other community organisations providing children’s services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Participating in play education and events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To work with play volunteers, carers and play provision partners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vertAlign w:val="baseline"/>
                <w:rtl w:val="0"/>
              </w:rPr>
              <w:t xml:space="preserve">To attend play team meetings as required.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involves the need to visit settings, schools and other venues throughout the county on a regular and routine basis.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on a rota basis, weekend, evening and bank holiday when required</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Majority of time spent outdoors and periods of office time to complete paperwork including data collection and evaluations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18"/>
        <w:gridCol w:w="5685"/>
        <w:gridCol w:w="662"/>
        <w:gridCol w:w="917"/>
        <w:tblGridChange w:id="0">
          <w:tblGrid>
            <w:gridCol w:w="7290"/>
            <w:gridCol w:w="18"/>
            <w:gridCol w:w="5685"/>
            <w:gridCol w:w="662"/>
            <w:gridCol w:w="917"/>
          </w:tblGrid>
        </w:tblGridChange>
      </w:tblGrid>
      <w:tr>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Play Worker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Children’s Services Group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Education Service</w:t>
            </w:r>
            <w:r w:rsidDel="00000000" w:rsidR="00000000" w:rsidRPr="00000000">
              <w:rPr>
                <w:b w:val="1"/>
                <w:vertAlign w:val="baseline"/>
                <w:rtl w:val="0"/>
              </w:rPr>
              <w:tab/>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720</w:t>
            </w:r>
            <w:r w:rsidDel="00000000" w:rsidR="00000000" w:rsidRPr="00000000">
              <w:rPr>
                <w:rtl w:val="0"/>
              </w:rPr>
            </w:r>
          </w:p>
        </w:tc>
      </w:tr>
      <w:tr>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5"/>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Qualifications</w:t>
            </w:r>
            <w:r w:rsidDel="00000000" w:rsidR="00000000" w:rsidRPr="00000000">
              <w:rPr>
                <w:rtl w:val="0"/>
              </w:rPr>
            </w:r>
          </w:p>
        </w:tc>
      </w:tr>
      <w:tr>
        <w:tc>
          <w:tcP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Youth or playwork qualification (min NVQ level 2) or equivalent.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Knowledge of the importance of play for all children and young people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Knowledge of safeguarding procedures (both national and in relation to the Northumberland LSCB)</w:t>
            </w:r>
            <w:r w:rsidDel="00000000" w:rsidR="00000000" w:rsidRPr="00000000">
              <w:rPr>
                <w:rtl w:val="0"/>
              </w:rPr>
            </w:r>
          </w:p>
        </w:tc>
        <w:tc>
          <w:tcPr>
            <w:gridSpan w:val="3"/>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First Aid qualification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w:t>
            </w:r>
            <w:r w:rsidDel="00000000" w:rsidR="00000000" w:rsidRPr="00000000">
              <w:rPr>
                <w:rtl w:val="0"/>
              </w:rPr>
            </w:r>
          </w:p>
        </w:tc>
      </w:tr>
      <w:tr>
        <w:tc>
          <w:tcPr>
            <w:gridSpan w:val="5"/>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Experience of working with a wide range of children and young people in community based / youth work or playwork settings – voluntary or paid.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An understanding of the principles of play and the role of adults.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An awareness of child development, and children’s rights.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 basic knowledge of the Children’s Act 2004 and other relevant  legislation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Experience of working with community members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Experience of group work</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Awareness of the importance of working in an anti-discriminatory framework.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Excellent communication skills with children, young people and adults.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Ability to work in partnership with community groups and other agencies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Good self-management and an ability to work using own initiative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The ability to work within a small team</w:t>
            </w:r>
            <w:r w:rsidDel="00000000" w:rsidR="00000000" w:rsidRPr="00000000">
              <w:rPr>
                <w:rtl w:val="0"/>
              </w:rPr>
            </w:r>
          </w:p>
        </w:tc>
        <w:tc>
          <w:tcPr>
            <w:gridSpan w:val="3"/>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Awareness of National Play Policy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Knowledge of the care standards to inform good practice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Knowledge of the local area</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Experience of consultation with children and young people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Experience of working with children and young people with additional needs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Knowledge and understanding of environmental issues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Ability to advocate children’s rights and promote participation in decision making.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 r</w:t>
            </w:r>
            <w:r w:rsidDel="00000000" w:rsidR="00000000" w:rsidRPr="00000000">
              <w:rPr>
                <w:rtl w:val="0"/>
              </w:rPr>
            </w:r>
          </w:p>
        </w:tc>
      </w:tr>
      <w:tr>
        <w:tc>
          <w:tcPr>
            <w:gridSpan w:val="5"/>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Adaptable to varies workload</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Flexible approach to working hours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Initiative and ability to manage your own workload</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Excellent interpersonal skills and ability to relate well with children and young people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Dependable, reliable and keeps good time</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Pro-active approach to work</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Ability to keep simple records</w:t>
            </w: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 r</w:t>
            </w:r>
            <w:r w:rsidDel="00000000" w:rsidR="00000000" w:rsidRPr="00000000">
              <w:rPr>
                <w:rtl w:val="0"/>
              </w:rPr>
            </w:r>
          </w:p>
        </w:tc>
      </w:tr>
      <w:tr>
        <w:tc>
          <w:tcPr>
            <w:gridSpan w:val="5"/>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Willingness to work in all weathers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Good physical health</w:t>
            </w: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 r</w:t>
            </w:r>
            <w:r w:rsidDel="00000000" w:rsidR="00000000" w:rsidRPr="00000000">
              <w:rPr>
                <w:rtl w:val="0"/>
              </w:rPr>
            </w:r>
          </w:p>
        </w:tc>
      </w:tr>
      <w:tr>
        <w:tc>
          <w:tcPr>
            <w:gridSpan w:val="5"/>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360" w:hanging="360"/>
              <w:contextualSpacing w:val="0"/>
              <w:rPr>
                <w:b w:val="0"/>
                <w:sz w:val="24"/>
                <w:szCs w:val="24"/>
              </w:rPr>
            </w:pPr>
            <w:r w:rsidDel="00000000" w:rsidR="00000000" w:rsidRPr="00000000">
              <w:rPr>
                <w:vertAlign w:val="baseline"/>
                <w:rtl w:val="0"/>
              </w:rPr>
              <w:t xml:space="preserve">Ability to meet the transport requirements of the job.</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A willingness to wear the agreed Community Play Ranger clothing</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The duties will involve regular, seasonal weekend and evening work.</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360" w:hanging="360"/>
              <w:contextualSpacing w:val="0"/>
              <w:rPr>
                <w:b w:val="0"/>
                <w:sz w:val="20"/>
                <w:szCs w:val="20"/>
              </w:rPr>
            </w:pPr>
            <w:r w:rsidDel="00000000" w:rsidR="00000000" w:rsidRPr="00000000">
              <w:rPr>
                <w:vertAlign w:val="baseline"/>
                <w:rtl w:val="0"/>
              </w:rPr>
              <w:t xml:space="preserve">This post is subject to a satisfactory disclosure through the Criminal Records Bureau</w:t>
            </w: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 r</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footerReference r:id="rId5" w:type="default"/>
      <w:pgSz w:h="12240" w:w="15840"/>
      <w:pgMar w:bottom="284"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567" w:before="0" w:line="240" w:lineRule="auto"/>
      <w:contextualSpacing w:val="0"/>
      <w:rPr>
        <w:rFonts w:ascii="Arial" w:cs="Arial" w:eastAsia="Arial" w:hAnsi="Arial"/>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