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D25BD">
        <w:rPr>
          <w:rFonts w:ascii="Arial" w:eastAsia="Arial" w:hAnsi="Arial" w:cs="Arial"/>
          <w:bCs/>
          <w:sz w:val="24"/>
          <w:szCs w:val="24"/>
        </w:rPr>
        <w:t>Coalfields Locality Safeguarding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proofErr w:type="spellStart"/>
      <w:r w:rsidR="008421FA">
        <w:rPr>
          <w:color w:val="auto"/>
        </w:rPr>
        <w:t>Hetton</w:t>
      </w:r>
      <w:proofErr w:type="spellEnd"/>
      <w:r w:rsidR="008421FA">
        <w:rPr>
          <w:color w:val="auto"/>
        </w:rPr>
        <w:t xml:space="preserve"> Centre, </w:t>
      </w:r>
      <w:proofErr w:type="spellStart"/>
      <w:r w:rsidR="008421FA">
        <w:rPr>
          <w:color w:val="auto"/>
        </w:rPr>
        <w:t>Hetton</w:t>
      </w:r>
      <w:proofErr w:type="spellEnd"/>
      <w:r w:rsidR="008421FA">
        <w:rPr>
          <w:color w:val="auto"/>
        </w:rPr>
        <w:t>-le-Hole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  <w:proofErr w:type="gramEnd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r w:rsidR="00A4096E" w:rsidRPr="00A4096E">
        <w:rPr>
          <w:rFonts w:ascii="Arial" w:eastAsia="Arial" w:hAnsi="Arial" w:cs="Arial"/>
          <w:sz w:val="24"/>
          <w:szCs w:val="24"/>
        </w:rPr>
        <w:t>PLO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</w:t>
      </w:r>
      <w:proofErr w:type="spellStart"/>
      <w:r w:rsidR="00A4096E">
        <w:rPr>
          <w:rFonts w:ascii="Arial" w:eastAsia="Arial" w:hAnsi="Arial" w:cs="Arial"/>
          <w:sz w:val="24"/>
          <w:szCs w:val="24"/>
        </w:rPr>
        <w:t>deputise</w:t>
      </w:r>
      <w:proofErr w:type="spellEnd"/>
      <w:r w:rsidR="00A4096E">
        <w:rPr>
          <w:rFonts w:ascii="Arial" w:eastAsia="Arial" w:hAnsi="Arial" w:cs="Arial"/>
          <w:sz w:val="24"/>
          <w:szCs w:val="24"/>
        </w:rPr>
        <w:t xml:space="preserve"> and attend PLO &amp; CIN Panels. 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Data Protection Act 1998 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</w:t>
      </w:r>
      <w:r w:rsidRPr="002E1F86">
        <w:rPr>
          <w:rFonts w:ascii="Arial" w:hAnsi="Arial" w:cs="Arial"/>
          <w:sz w:val="24"/>
          <w:szCs w:val="24"/>
        </w:rPr>
        <w:t>;</w:t>
      </w:r>
    </w:p>
    <w:p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04090F" w:rsidRPr="002E1F86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Paul Lundie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8421FA">
        <w:rPr>
          <w:rFonts w:ascii="Arial" w:eastAsia="Times New Roman" w:hAnsi="Arial" w:cs="Arial"/>
          <w:sz w:val="24"/>
          <w:szCs w:val="24"/>
          <w:lang w:eastAsia="en-GB"/>
        </w:rPr>
        <w:t>November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2017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Locality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Hons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>: Paul Lundie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October 2017</w:t>
      </w:r>
      <w:bookmarkStart w:id="0" w:name="_GoBack"/>
      <w:bookmarkEnd w:id="0"/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04090F"/>
    <w:rsid w:val="00072B42"/>
    <w:rsid w:val="000D25BD"/>
    <w:rsid w:val="00256FBC"/>
    <w:rsid w:val="002751D5"/>
    <w:rsid w:val="002F7CC4"/>
    <w:rsid w:val="003058A2"/>
    <w:rsid w:val="003A723E"/>
    <w:rsid w:val="00475CC6"/>
    <w:rsid w:val="005B5C51"/>
    <w:rsid w:val="005E461D"/>
    <w:rsid w:val="005F598F"/>
    <w:rsid w:val="0064613F"/>
    <w:rsid w:val="007422AF"/>
    <w:rsid w:val="008421FA"/>
    <w:rsid w:val="009D2BD3"/>
    <w:rsid w:val="00A4096E"/>
    <w:rsid w:val="00AC3DD3"/>
    <w:rsid w:val="00B67990"/>
    <w:rsid w:val="00B77DE0"/>
    <w:rsid w:val="00C068E9"/>
    <w:rsid w:val="00C472C2"/>
    <w:rsid w:val="00D35F5E"/>
    <w:rsid w:val="00DD0AFE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1840-D22C-4784-8A1C-8275E682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Jackie Liddle</cp:lastModifiedBy>
  <cp:revision>3</cp:revision>
  <dcterms:created xsi:type="dcterms:W3CDTF">2017-11-29T08:47:00Z</dcterms:created>
  <dcterms:modified xsi:type="dcterms:W3CDTF">2017-11-29T09:31:00Z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