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0" distT="0" distL="0" distR="0">
            <wp:extent cx="1249120" cy="11199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9120" cy="111990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September 2018</w:t>
      </w:r>
    </w:p>
    <w:p w:rsidR="00000000" w:rsidDel="00000000" w:rsidP="00000000" w:rsidRDefault="00000000" w:rsidRPr="00000000" w14:paraId="00000004">
      <w:pP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Teaching Assistants </w:t>
      </w:r>
    </w:p>
    <w:p w:rsidR="00000000" w:rsidDel="00000000" w:rsidP="00000000" w:rsidRDefault="00000000" w:rsidRPr="00000000" w14:paraId="00000006">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Scale 2, point 11 – 13 (£17,007-17,391 pro rata)</w:t>
      </w:r>
    </w:p>
    <w:p w:rsidR="00000000" w:rsidDel="00000000" w:rsidP="00000000" w:rsidRDefault="00000000" w:rsidRPr="00000000" w14:paraId="00000007">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  Full/Part-time opportunities </w:t>
      </w:r>
    </w:p>
    <w:p w:rsidR="00000000" w:rsidDel="00000000" w:rsidP="00000000" w:rsidRDefault="00000000" w:rsidRPr="00000000" w14:paraId="00000008">
      <w:pPr>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9">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We seek to appoint experienced, enthusiastic and committed Teaching Assistants to join our Primary School team </w:t>
      </w:r>
    </w:p>
    <w:p w:rsidR="00000000" w:rsidDel="00000000" w:rsidP="00000000" w:rsidRDefault="00000000" w:rsidRPr="00000000" w14:paraId="0000000A">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successful candidates will:</w:t>
      </w:r>
    </w:p>
    <w:p w:rsidR="00000000" w:rsidDel="00000000" w:rsidP="00000000" w:rsidRDefault="00000000" w:rsidRPr="00000000" w14:paraId="0000000C">
      <w:pPr>
        <w:numPr>
          <w:ilvl w:val="0"/>
          <w:numId w:val="1"/>
        </w:numPr>
        <w:ind w:left="720" w:hanging="360"/>
        <w:contextualSpacing w:val="1"/>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Hold at least a relevant Level 2 qualification </w:t>
      </w:r>
    </w:p>
    <w:p w:rsidR="00000000" w:rsidDel="00000000" w:rsidP="00000000" w:rsidRDefault="00000000" w:rsidRPr="00000000" w14:paraId="0000000D">
      <w:pPr>
        <w:numPr>
          <w:ilvl w:val="0"/>
          <w:numId w:val="1"/>
        </w:numPr>
        <w:ind w:left="720" w:hanging="360"/>
        <w:contextualSpacing w:val="1"/>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Have excellent literacy and numeracy skills </w:t>
      </w: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Have high expectations when supporting teaching and learning</w:t>
      </w:r>
    </w:p>
    <w:p w:rsidR="00000000" w:rsidDel="00000000" w:rsidP="00000000" w:rsidRDefault="00000000" w:rsidRPr="00000000" w14:paraId="0000000F">
      <w:pPr>
        <w:numPr>
          <w:ilvl w:val="0"/>
          <w:numId w:val="1"/>
        </w:numPr>
        <w:ind w:left="720" w:hanging="360"/>
        <w:contextualSpacing w:val="1"/>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Be flexible and adaptable to the varying needs of the role</w:t>
      </w:r>
    </w:p>
    <w:p w:rsidR="00000000" w:rsidDel="00000000" w:rsidP="00000000" w:rsidRDefault="00000000" w:rsidRPr="00000000" w14:paraId="00000010">
      <w:pPr>
        <w:numPr>
          <w:ilvl w:val="0"/>
          <w:numId w:val="1"/>
        </w:numPr>
        <w:ind w:left="720" w:hanging="360"/>
        <w:contextualSpacing w:val="1"/>
        <w:rPr>
          <w:rFonts w:ascii="Calibri" w:cs="Calibri" w:eastAsia="Calibri" w:hAnsi="Calibri"/>
          <w:sz w:val="22"/>
          <w:szCs w:val="22"/>
          <w:highlight w:val="white"/>
          <w:u w:val="none"/>
        </w:rPr>
      </w:pPr>
      <w:bookmarkStart w:colFirst="0" w:colLast="0" w:name="_bywkmcx30j6y" w:id="0"/>
      <w:bookmarkEnd w:id="0"/>
      <w:r w:rsidDel="00000000" w:rsidR="00000000" w:rsidRPr="00000000">
        <w:rPr>
          <w:rFonts w:ascii="Calibri" w:cs="Calibri" w:eastAsia="Calibri" w:hAnsi="Calibri"/>
          <w:sz w:val="22"/>
          <w:szCs w:val="22"/>
          <w:highlight w:val="white"/>
          <w:rtl w:val="0"/>
        </w:rPr>
        <w:t xml:space="preserve">Show initiative and work well as part of a team</w:t>
      </w:r>
    </w:p>
    <w:p w:rsidR="00000000" w:rsidDel="00000000" w:rsidP="00000000" w:rsidRDefault="00000000" w:rsidRPr="00000000" w14:paraId="00000011">
      <w:pPr>
        <w:numPr>
          <w:ilvl w:val="0"/>
          <w:numId w:val="1"/>
        </w:numPr>
        <w:ind w:left="720" w:hanging="360"/>
        <w:contextualSpacing w:val="1"/>
        <w:rPr>
          <w:rFonts w:ascii="Calibri" w:cs="Calibri" w:eastAsia="Calibri" w:hAnsi="Calibri"/>
          <w:sz w:val="22"/>
          <w:szCs w:val="22"/>
          <w:highlight w:val="white"/>
          <w:u w:val="none"/>
        </w:rPr>
      </w:pPr>
      <w:bookmarkStart w:colFirst="0" w:colLast="0" w:name="_gjdgxs" w:id="1"/>
      <w:bookmarkEnd w:id="1"/>
      <w:r w:rsidDel="00000000" w:rsidR="00000000" w:rsidRPr="00000000">
        <w:rPr>
          <w:rFonts w:ascii="Calibri" w:cs="Calibri" w:eastAsia="Calibri" w:hAnsi="Calibri"/>
          <w:sz w:val="22"/>
          <w:szCs w:val="22"/>
          <w:highlight w:val="white"/>
          <w:rtl w:val="0"/>
        </w:rPr>
        <w:t xml:space="preserve">Show commitment to the wider life of the school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hanging="72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posts are temporary initially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Ashington Learning Partnership is committed to safeguarding the welfare of children and young people and expects the same commitment from its employees. All new staff will be subject to an enhanced DBS clearance, identity checks, qualification checks, and employment checks, including the investigation of any gaps between jobs and two satisfactory references. </w:t>
      </w:r>
    </w:p>
    <w:p w:rsidR="00000000" w:rsidDel="00000000" w:rsidP="00000000" w:rsidRDefault="00000000" w:rsidRPr="00000000" w14:paraId="00000014">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Completed applications are to be returned to </w:t>
      </w:r>
      <w:hyperlink r:id="rId7">
        <w:r w:rsidDel="00000000" w:rsidR="00000000" w:rsidRPr="00000000">
          <w:rPr>
            <w:rFonts w:ascii="Calibri" w:cs="Calibri" w:eastAsia="Calibri" w:hAnsi="Calibri"/>
            <w:color w:val="0000ff"/>
            <w:u w:val="single"/>
            <w:rtl w:val="0"/>
          </w:rPr>
          <w:t xml:space="preserve">Jayne.Hawkins@alptrust.co.uk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Louise Hall, Head of School, can be contacted on 01670 812324 should you wish to discuss the advertised posts</w:t>
      </w:r>
    </w:p>
    <w:p w:rsidR="00000000" w:rsidDel="00000000" w:rsidP="00000000" w:rsidRDefault="00000000" w:rsidRPr="00000000" w14:paraId="00000016">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Closing Date: 12.00 noon, Friday 25th May </w:t>
      </w:r>
      <w:r w:rsidDel="00000000" w:rsidR="00000000" w:rsidRPr="00000000">
        <w:rPr>
          <w:rFonts w:ascii="Calibri" w:cs="Calibri" w:eastAsia="Calibri" w:hAnsi="Calibri"/>
          <w:b w:val="1"/>
          <w:sz w:val="28"/>
          <w:szCs w:val="28"/>
          <w:rtl w:val="0"/>
        </w:rPr>
        <w:t xml:space="preserve">2018.</w:t>
      </w:r>
    </w:p>
    <w:p w:rsidR="00000000" w:rsidDel="00000000" w:rsidP="00000000" w:rsidRDefault="00000000" w:rsidRPr="00000000" w14:paraId="00000019">
      <w:pPr>
        <w:contextualSpacing w:val="0"/>
        <w:jc w:val="center"/>
        <w:rPr/>
      </w:pPr>
      <w:r w:rsidDel="00000000" w:rsidR="00000000" w:rsidRPr="00000000">
        <w:rPr>
          <w:rFonts w:ascii="Calibri" w:cs="Calibri" w:eastAsia="Calibri" w:hAnsi="Calibri"/>
          <w:b w:val="1"/>
          <w:sz w:val="28"/>
          <w:szCs w:val="28"/>
          <w:rtl w:val="0"/>
        </w:rPr>
        <w:t xml:space="preserve">Interviews: asap thereafter.</w:t>
      </w: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sz w:val="16"/>
          <w:szCs w:val="16"/>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