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7AA9" w:rsidRDefault="007111F3">
      <w:pPr>
        <w:pBdr>
          <w:top w:val="nil"/>
          <w:left w:val="nil"/>
          <w:bottom w:val="nil"/>
          <w:right w:val="nil"/>
          <w:between w:val="nil"/>
        </w:pBdr>
        <w:tabs>
          <w:tab w:val="center" w:pos="7700"/>
          <w:tab w:val="right" w:pos="14040"/>
          <w:tab w:val="right" w:pos="15400"/>
        </w:tabs>
        <w:ind w:right="98"/>
      </w:pPr>
      <w:r>
        <w:rPr>
          <w:b/>
        </w:rPr>
        <w:t>JOB DESCRIPTION</w:t>
      </w:r>
      <w:r>
        <w:rPr>
          <w:b/>
        </w:rPr>
        <w:tab/>
      </w:r>
    </w:p>
    <w:p w:rsidR="00067AA9" w:rsidRDefault="00067AA9">
      <w:pPr>
        <w:pBdr>
          <w:top w:val="nil"/>
          <w:left w:val="nil"/>
          <w:bottom w:val="nil"/>
          <w:right w:val="nil"/>
          <w:between w:val="nil"/>
        </w:pBdr>
      </w:pPr>
    </w:p>
    <w:tbl>
      <w:tblPr>
        <w:tblStyle w:val="a"/>
        <w:tblW w:w="146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930"/>
        <w:gridCol w:w="663"/>
        <w:gridCol w:w="1673"/>
        <w:gridCol w:w="3830"/>
        <w:gridCol w:w="2265"/>
      </w:tblGrid>
      <w:tr w:rsidR="00067AA9">
        <w:trPr>
          <w:trHeight w:val="260"/>
        </w:trPr>
        <w:tc>
          <w:tcPr>
            <w:tcW w:w="5334" w:type="dxa"/>
            <w:tcBorders>
              <w:top w:val="single" w:sz="4" w:space="0" w:color="000000"/>
              <w:right w:val="single" w:sz="4" w:space="0" w:color="000000"/>
            </w:tcBorders>
          </w:tcPr>
          <w:p w:rsidR="00067AA9" w:rsidRDefault="007111F3">
            <w:pPr>
              <w:pBdr>
                <w:top w:val="nil"/>
                <w:left w:val="nil"/>
                <w:bottom w:val="nil"/>
                <w:right w:val="nil"/>
                <w:between w:val="nil"/>
              </w:pBdr>
            </w:pPr>
            <w:r>
              <w:rPr>
                <w:b/>
              </w:rPr>
              <w:t xml:space="preserve">Post Title: </w:t>
            </w:r>
            <w:proofErr w:type="spellStart"/>
            <w:r>
              <w:t>IAG</w:t>
            </w:r>
            <w:proofErr w:type="spellEnd"/>
            <w:r>
              <w:t xml:space="preserve"> Adviser</w:t>
            </w:r>
          </w:p>
        </w:tc>
        <w:tc>
          <w:tcPr>
            <w:tcW w:w="7096" w:type="dxa"/>
            <w:gridSpan w:val="4"/>
            <w:tcBorders>
              <w:top w:val="single" w:sz="4" w:space="0" w:color="000000"/>
              <w:left w:val="single" w:sz="4" w:space="0" w:color="000000"/>
              <w:right w:val="single" w:sz="4" w:space="0" w:color="000000"/>
            </w:tcBorders>
          </w:tcPr>
          <w:p w:rsidR="00067AA9" w:rsidRDefault="007111F3">
            <w:pPr>
              <w:pBdr>
                <w:top w:val="nil"/>
                <w:left w:val="nil"/>
                <w:bottom w:val="nil"/>
                <w:right w:val="nil"/>
                <w:between w:val="nil"/>
              </w:pBdr>
            </w:pPr>
            <w:r>
              <w:rPr>
                <w:b/>
              </w:rPr>
              <w:t xml:space="preserve">Director/Service/Sector:  </w:t>
            </w:r>
            <w:r>
              <w:t>Wellbeing and Community Health Directorate,</w:t>
            </w:r>
          </w:p>
          <w:p w:rsidR="00067AA9" w:rsidRDefault="007111F3">
            <w:pPr>
              <w:pBdr>
                <w:top w:val="nil"/>
                <w:left w:val="nil"/>
                <w:bottom w:val="nil"/>
                <w:right w:val="nil"/>
                <w:between w:val="nil"/>
              </w:pBdr>
            </w:pPr>
            <w:r>
              <w:t>Learning and Skills Service</w:t>
            </w:r>
          </w:p>
        </w:tc>
        <w:tc>
          <w:tcPr>
            <w:tcW w:w="2265" w:type="dxa"/>
            <w:tcBorders>
              <w:top w:val="single" w:sz="4" w:space="0" w:color="000000"/>
              <w:left w:val="single" w:sz="4" w:space="0" w:color="000000"/>
              <w:right w:val="single" w:sz="4" w:space="0" w:color="000000"/>
            </w:tcBorders>
          </w:tcPr>
          <w:p w:rsidR="00067AA9" w:rsidRDefault="007111F3">
            <w:pPr>
              <w:pBdr>
                <w:top w:val="nil"/>
                <w:left w:val="nil"/>
                <w:bottom w:val="nil"/>
                <w:right w:val="nil"/>
                <w:between w:val="nil"/>
              </w:pBdr>
            </w:pPr>
            <w:r>
              <w:rPr>
                <w:b/>
              </w:rPr>
              <w:t>Office Use</w:t>
            </w:r>
          </w:p>
        </w:tc>
      </w:tr>
      <w:tr w:rsidR="00067AA9">
        <w:trPr>
          <w:trHeight w:val="380"/>
        </w:trPr>
        <w:tc>
          <w:tcPr>
            <w:tcW w:w="5334" w:type="dxa"/>
            <w:tcBorders>
              <w:right w:val="single" w:sz="4" w:space="0" w:color="000000"/>
            </w:tcBorders>
          </w:tcPr>
          <w:p w:rsidR="00067AA9" w:rsidRDefault="007111F3">
            <w:pPr>
              <w:pBdr>
                <w:top w:val="nil"/>
                <w:left w:val="nil"/>
                <w:bottom w:val="nil"/>
                <w:right w:val="nil"/>
                <w:between w:val="nil"/>
              </w:pBdr>
            </w:pPr>
            <w:r>
              <w:rPr>
                <w:b/>
              </w:rPr>
              <w:t xml:space="preserve">Grade:  </w:t>
            </w:r>
            <w:r>
              <w:t>6</w:t>
            </w:r>
          </w:p>
        </w:tc>
        <w:tc>
          <w:tcPr>
            <w:tcW w:w="7096" w:type="dxa"/>
            <w:gridSpan w:val="4"/>
            <w:tcBorders>
              <w:left w:val="single" w:sz="4" w:space="0" w:color="000000"/>
              <w:right w:val="single" w:sz="4" w:space="0" w:color="000000"/>
            </w:tcBorders>
          </w:tcPr>
          <w:p w:rsidR="00067AA9" w:rsidRDefault="007111F3">
            <w:pPr>
              <w:pBdr>
                <w:top w:val="nil"/>
                <w:left w:val="nil"/>
                <w:bottom w:val="nil"/>
                <w:right w:val="nil"/>
                <w:between w:val="nil"/>
              </w:pBdr>
            </w:pPr>
            <w:r>
              <w:rPr>
                <w:b/>
              </w:rPr>
              <w:t xml:space="preserve">Workplace:  </w:t>
            </w:r>
          </w:p>
        </w:tc>
        <w:tc>
          <w:tcPr>
            <w:tcW w:w="2265" w:type="dxa"/>
            <w:vMerge w:val="restart"/>
            <w:tcBorders>
              <w:left w:val="single" w:sz="4" w:space="0" w:color="000000"/>
              <w:right w:val="single" w:sz="4" w:space="0" w:color="000000"/>
            </w:tcBorders>
          </w:tcPr>
          <w:p w:rsidR="00067AA9" w:rsidRDefault="007111F3">
            <w:pPr>
              <w:pBdr>
                <w:top w:val="nil"/>
                <w:left w:val="nil"/>
                <w:bottom w:val="nil"/>
                <w:right w:val="nil"/>
                <w:between w:val="nil"/>
              </w:pBdr>
            </w:pPr>
            <w:r>
              <w:rPr>
                <w:b/>
              </w:rPr>
              <w:t xml:space="preserve">JE ref: </w:t>
            </w:r>
            <w:r>
              <w:t>2929</w:t>
            </w:r>
          </w:p>
          <w:p w:rsidR="00067AA9" w:rsidRDefault="007111F3">
            <w:pPr>
              <w:pBdr>
                <w:top w:val="nil"/>
                <w:left w:val="nil"/>
                <w:bottom w:val="nil"/>
                <w:right w:val="nil"/>
                <w:between w:val="nil"/>
              </w:pBdr>
            </w:pPr>
            <w:proofErr w:type="spellStart"/>
            <w:r>
              <w:rPr>
                <w:b/>
              </w:rPr>
              <w:t>HRMS</w:t>
            </w:r>
            <w:proofErr w:type="spellEnd"/>
            <w:r>
              <w:rPr>
                <w:b/>
              </w:rPr>
              <w:t xml:space="preserve"> ref:</w:t>
            </w:r>
          </w:p>
          <w:p w:rsidR="00067AA9" w:rsidRDefault="00067AA9">
            <w:pPr>
              <w:pBdr>
                <w:top w:val="nil"/>
                <w:left w:val="nil"/>
                <w:bottom w:val="nil"/>
                <w:right w:val="nil"/>
                <w:between w:val="nil"/>
              </w:pBdr>
            </w:pPr>
          </w:p>
        </w:tc>
      </w:tr>
      <w:tr w:rsidR="00067AA9">
        <w:trPr>
          <w:trHeight w:val="380"/>
        </w:trPr>
        <w:tc>
          <w:tcPr>
            <w:tcW w:w="5334" w:type="dxa"/>
            <w:tcBorders>
              <w:bottom w:val="single" w:sz="4" w:space="0" w:color="000000"/>
              <w:right w:val="single" w:sz="4" w:space="0" w:color="000000"/>
            </w:tcBorders>
          </w:tcPr>
          <w:p w:rsidR="00067AA9" w:rsidRDefault="007111F3">
            <w:pPr>
              <w:pBdr>
                <w:top w:val="nil"/>
                <w:left w:val="nil"/>
                <w:bottom w:val="nil"/>
                <w:right w:val="nil"/>
                <w:between w:val="nil"/>
              </w:pBdr>
            </w:pPr>
            <w:r>
              <w:rPr>
                <w:b/>
              </w:rPr>
              <w:t xml:space="preserve">Responsible to: </w:t>
            </w:r>
            <w:r>
              <w:t xml:space="preserve">Employability and </w:t>
            </w:r>
            <w:proofErr w:type="spellStart"/>
            <w:r>
              <w:t>IAG</w:t>
            </w:r>
            <w:proofErr w:type="spellEnd"/>
            <w:r>
              <w:t xml:space="preserve"> Manager</w:t>
            </w:r>
          </w:p>
        </w:tc>
        <w:tc>
          <w:tcPr>
            <w:tcW w:w="3266" w:type="dxa"/>
            <w:gridSpan w:val="3"/>
            <w:tcBorders>
              <w:left w:val="single" w:sz="4" w:space="0" w:color="000000"/>
              <w:bottom w:val="single" w:sz="4" w:space="0" w:color="000000"/>
              <w:right w:val="single" w:sz="4" w:space="0" w:color="000000"/>
            </w:tcBorders>
          </w:tcPr>
          <w:p w:rsidR="00067AA9" w:rsidRDefault="007111F3">
            <w:pPr>
              <w:pBdr>
                <w:top w:val="nil"/>
                <w:left w:val="nil"/>
                <w:bottom w:val="nil"/>
                <w:right w:val="nil"/>
                <w:between w:val="nil"/>
              </w:pBdr>
            </w:pPr>
            <w:r>
              <w:rPr>
                <w:b/>
              </w:rPr>
              <w:t xml:space="preserve">Date:  </w:t>
            </w:r>
          </w:p>
          <w:p w:rsidR="00067AA9" w:rsidRDefault="007111F3">
            <w:pPr>
              <w:pBdr>
                <w:top w:val="nil"/>
                <w:left w:val="nil"/>
                <w:bottom w:val="nil"/>
                <w:right w:val="nil"/>
                <w:between w:val="nil"/>
              </w:pBdr>
            </w:pPr>
            <w:r>
              <w:t>May 2015</w:t>
            </w:r>
          </w:p>
        </w:tc>
        <w:tc>
          <w:tcPr>
            <w:tcW w:w="3830" w:type="dxa"/>
            <w:tcBorders>
              <w:left w:val="single" w:sz="4" w:space="0" w:color="000000"/>
              <w:bottom w:val="single" w:sz="4" w:space="0" w:color="000000"/>
              <w:right w:val="single" w:sz="4" w:space="0" w:color="000000"/>
            </w:tcBorders>
          </w:tcPr>
          <w:p w:rsidR="00067AA9" w:rsidRDefault="007111F3">
            <w:pPr>
              <w:pBdr>
                <w:top w:val="nil"/>
                <w:left w:val="nil"/>
                <w:bottom w:val="nil"/>
                <w:right w:val="nil"/>
                <w:between w:val="nil"/>
              </w:pBdr>
            </w:pPr>
            <w:r>
              <w:rPr>
                <w:b/>
              </w:rPr>
              <w:t>Manager Level:</w:t>
            </w:r>
          </w:p>
        </w:tc>
        <w:tc>
          <w:tcPr>
            <w:tcW w:w="2265" w:type="dxa"/>
            <w:vMerge/>
            <w:tcBorders>
              <w:left w:val="single" w:sz="4" w:space="0" w:color="000000"/>
              <w:right w:val="single" w:sz="4" w:space="0" w:color="000000"/>
            </w:tcBorders>
          </w:tcPr>
          <w:p w:rsidR="00067AA9" w:rsidRDefault="00067AA9">
            <w:pPr>
              <w:pBdr>
                <w:top w:val="nil"/>
                <w:left w:val="nil"/>
                <w:bottom w:val="nil"/>
                <w:right w:val="nil"/>
                <w:between w:val="nil"/>
              </w:pBdr>
            </w:pPr>
          </w:p>
        </w:tc>
      </w:tr>
      <w:tr w:rsidR="00067AA9">
        <w:tc>
          <w:tcPr>
            <w:tcW w:w="14695" w:type="dxa"/>
            <w:gridSpan w:val="6"/>
            <w:tcBorders>
              <w:bottom w:val="single" w:sz="4" w:space="0" w:color="000000"/>
            </w:tcBorders>
          </w:tcPr>
          <w:p w:rsidR="00067AA9" w:rsidRDefault="007111F3">
            <w:pPr>
              <w:pBdr>
                <w:top w:val="nil"/>
                <w:left w:val="nil"/>
                <w:bottom w:val="nil"/>
                <w:right w:val="nil"/>
                <w:between w:val="nil"/>
              </w:pBdr>
            </w:pPr>
            <w:r>
              <w:rPr>
                <w:b/>
              </w:rPr>
              <w:t xml:space="preserve">Job Purpose:  </w:t>
            </w:r>
            <w:r>
              <w:t>To work within a team to provide impartial, co-ordinated and individualised careers information, advice and guidance for a caseload of vulnerable young people on a 1:1 basis to enable, encourage and assist them to participate; to negotiate a learning and p</w:t>
            </w:r>
            <w:r>
              <w:t>ersonal development plan through liaison with colleagues and partners;  and to record activity on the relevant database.</w:t>
            </w:r>
          </w:p>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 xml:space="preserve">To provide impartial </w:t>
            </w:r>
            <w:proofErr w:type="spellStart"/>
            <w:r>
              <w:t>IAG</w:t>
            </w:r>
            <w:proofErr w:type="spellEnd"/>
            <w:r>
              <w:t xml:space="preserve"> to young people at school or other provision through a Service Level Agreement as required</w:t>
            </w:r>
          </w:p>
          <w:p w:rsidR="00067AA9" w:rsidRDefault="00067AA9">
            <w:pPr>
              <w:pBdr>
                <w:top w:val="nil"/>
                <w:left w:val="nil"/>
                <w:bottom w:val="nil"/>
                <w:right w:val="nil"/>
                <w:between w:val="nil"/>
              </w:pBdr>
            </w:pPr>
          </w:p>
        </w:tc>
      </w:tr>
      <w:tr w:rsidR="00067AA9">
        <w:trPr>
          <w:trHeight w:val="300"/>
        </w:trPr>
        <w:tc>
          <w:tcPr>
            <w:tcW w:w="5334" w:type="dxa"/>
            <w:tcBorders>
              <w:top w:val="single" w:sz="4" w:space="0" w:color="000000"/>
              <w:bottom w:val="single" w:sz="4" w:space="0" w:color="000000"/>
              <w:right w:val="nil"/>
            </w:tcBorders>
          </w:tcPr>
          <w:p w:rsidR="00067AA9" w:rsidRDefault="007111F3">
            <w:pPr>
              <w:pBdr>
                <w:top w:val="nil"/>
                <w:left w:val="nil"/>
                <w:bottom w:val="nil"/>
                <w:right w:val="nil"/>
                <w:between w:val="nil"/>
              </w:pBdr>
            </w:pPr>
            <w:r>
              <w:rPr>
                <w:b/>
              </w:rPr>
              <w:t>Resources</w:t>
            </w:r>
          </w:p>
        </w:tc>
        <w:tc>
          <w:tcPr>
            <w:tcW w:w="930" w:type="dxa"/>
            <w:tcBorders>
              <w:top w:val="single" w:sz="4" w:space="0" w:color="000000"/>
              <w:left w:val="nil"/>
              <w:bottom w:val="single" w:sz="4" w:space="0" w:color="000000"/>
              <w:right w:val="single" w:sz="4" w:space="0" w:color="000000"/>
            </w:tcBorders>
          </w:tcPr>
          <w:p w:rsidR="00067AA9" w:rsidRDefault="007111F3">
            <w:pPr>
              <w:pBdr>
                <w:top w:val="nil"/>
                <w:left w:val="nil"/>
                <w:bottom w:val="nil"/>
                <w:right w:val="nil"/>
                <w:between w:val="nil"/>
              </w:pBdr>
              <w:jc w:val="right"/>
            </w:pPr>
            <w:r>
              <w:t>Staff</w:t>
            </w:r>
          </w:p>
        </w:tc>
        <w:tc>
          <w:tcPr>
            <w:tcW w:w="8431" w:type="dxa"/>
            <w:gridSpan w:val="4"/>
            <w:tcBorders>
              <w:top w:val="single" w:sz="4" w:space="0" w:color="000000"/>
              <w:left w:val="single" w:sz="4" w:space="0" w:color="000000"/>
              <w:bottom w:val="single" w:sz="4" w:space="0" w:color="000000"/>
              <w:right w:val="single" w:sz="4" w:space="0" w:color="000000"/>
            </w:tcBorders>
          </w:tcPr>
          <w:p w:rsidR="00067AA9" w:rsidRDefault="007111F3">
            <w:pPr>
              <w:pBdr>
                <w:top w:val="nil"/>
                <w:left w:val="nil"/>
                <w:bottom w:val="nil"/>
                <w:right w:val="nil"/>
                <w:between w:val="nil"/>
              </w:pBdr>
              <w:ind w:left="-2282" w:right="-103" w:firstLine="2282"/>
            </w:pPr>
            <w:r>
              <w:t>Supervision of admin / support staff for specific projects</w:t>
            </w:r>
          </w:p>
        </w:tc>
      </w:tr>
      <w:tr w:rsidR="00067AA9">
        <w:trPr>
          <w:trHeight w:val="300"/>
        </w:trPr>
        <w:tc>
          <w:tcPr>
            <w:tcW w:w="5334" w:type="dxa"/>
            <w:tcBorders>
              <w:top w:val="single" w:sz="4" w:space="0" w:color="000000"/>
            </w:tcBorders>
          </w:tcPr>
          <w:p w:rsidR="00067AA9" w:rsidRDefault="007111F3">
            <w:pPr>
              <w:pBdr>
                <w:top w:val="nil"/>
                <w:left w:val="nil"/>
                <w:bottom w:val="nil"/>
                <w:right w:val="nil"/>
                <w:between w:val="nil"/>
              </w:pBdr>
              <w:jc w:val="right"/>
            </w:pPr>
            <w:r>
              <w:t>Finance</w:t>
            </w:r>
          </w:p>
        </w:tc>
        <w:tc>
          <w:tcPr>
            <w:tcW w:w="9361" w:type="dxa"/>
            <w:gridSpan w:val="5"/>
            <w:tcBorders>
              <w:top w:val="single" w:sz="4" w:space="0" w:color="000000"/>
              <w:right w:val="single" w:sz="4" w:space="0" w:color="000000"/>
            </w:tcBorders>
          </w:tcPr>
          <w:p w:rsidR="00067AA9" w:rsidRDefault="007111F3">
            <w:pPr>
              <w:pBdr>
                <w:top w:val="nil"/>
                <w:left w:val="nil"/>
                <w:bottom w:val="nil"/>
                <w:right w:val="nil"/>
                <w:between w:val="nil"/>
              </w:pBdr>
            </w:pPr>
            <w:r>
              <w:t>None</w:t>
            </w:r>
          </w:p>
        </w:tc>
      </w:tr>
      <w:tr w:rsidR="00067AA9">
        <w:trPr>
          <w:trHeight w:val="300"/>
        </w:trPr>
        <w:tc>
          <w:tcPr>
            <w:tcW w:w="5334" w:type="dxa"/>
            <w:tcBorders>
              <w:bottom w:val="single" w:sz="4" w:space="0" w:color="000000"/>
            </w:tcBorders>
          </w:tcPr>
          <w:p w:rsidR="00067AA9" w:rsidRDefault="007111F3">
            <w:pPr>
              <w:pBdr>
                <w:top w:val="nil"/>
                <w:left w:val="nil"/>
                <w:bottom w:val="nil"/>
                <w:right w:val="nil"/>
                <w:between w:val="nil"/>
              </w:pBdr>
              <w:jc w:val="right"/>
            </w:pPr>
            <w:r>
              <w:t>Physical</w:t>
            </w:r>
          </w:p>
        </w:tc>
        <w:tc>
          <w:tcPr>
            <w:tcW w:w="9361" w:type="dxa"/>
            <w:gridSpan w:val="5"/>
            <w:tcBorders>
              <w:bottom w:val="single" w:sz="4" w:space="0" w:color="000000"/>
            </w:tcBorders>
          </w:tcPr>
          <w:p w:rsidR="00067AA9" w:rsidRDefault="007111F3">
            <w:pPr>
              <w:pBdr>
                <w:top w:val="nil"/>
                <w:left w:val="nil"/>
                <w:bottom w:val="nil"/>
                <w:right w:val="nil"/>
                <w:between w:val="nil"/>
              </w:pBdr>
            </w:pPr>
            <w:r>
              <w:t xml:space="preserve">Interrogation and manipulation of sensitive and confidential data.  </w:t>
            </w:r>
          </w:p>
        </w:tc>
      </w:tr>
      <w:tr w:rsidR="00067AA9">
        <w:trPr>
          <w:trHeight w:val="300"/>
        </w:trPr>
        <w:tc>
          <w:tcPr>
            <w:tcW w:w="5334" w:type="dxa"/>
            <w:tcBorders>
              <w:bottom w:val="single" w:sz="4" w:space="0" w:color="000000"/>
            </w:tcBorders>
          </w:tcPr>
          <w:p w:rsidR="00067AA9" w:rsidRDefault="007111F3">
            <w:pPr>
              <w:pBdr>
                <w:top w:val="nil"/>
                <w:left w:val="nil"/>
                <w:bottom w:val="nil"/>
                <w:right w:val="nil"/>
                <w:between w:val="nil"/>
              </w:pBdr>
              <w:jc w:val="right"/>
            </w:pPr>
            <w:r>
              <w:t>Clients</w:t>
            </w:r>
          </w:p>
        </w:tc>
        <w:tc>
          <w:tcPr>
            <w:tcW w:w="9361" w:type="dxa"/>
            <w:gridSpan w:val="5"/>
            <w:tcBorders>
              <w:bottom w:val="single" w:sz="4" w:space="0" w:color="000000"/>
            </w:tcBorders>
          </w:tcPr>
          <w:p w:rsidR="00067AA9" w:rsidRDefault="007111F3">
            <w:pPr>
              <w:pBdr>
                <w:top w:val="nil"/>
                <w:left w:val="nil"/>
                <w:bottom w:val="nil"/>
                <w:right w:val="nil"/>
                <w:between w:val="nil"/>
              </w:pBdr>
            </w:pPr>
            <w:r>
              <w:t xml:space="preserve">Vulnerable young people aged 16-18 (Years 12 and 13); Year 11 in school at risk of </w:t>
            </w:r>
            <w:proofErr w:type="spellStart"/>
            <w:r>
              <w:t>NEET</w:t>
            </w:r>
            <w:proofErr w:type="spellEnd"/>
            <w:r>
              <w:t xml:space="preserve">; and Year 11 </w:t>
            </w:r>
            <w:proofErr w:type="spellStart"/>
            <w:r>
              <w:t>EOTAS</w:t>
            </w:r>
            <w:proofErr w:type="spellEnd"/>
            <w:r>
              <w:t>; and in specified target groups</w:t>
            </w:r>
            <w:r>
              <w:rPr>
                <w:b/>
              </w:rPr>
              <w:t xml:space="preserve"> </w:t>
            </w:r>
          </w:p>
        </w:tc>
      </w:tr>
      <w:tr w:rsidR="00067AA9">
        <w:tc>
          <w:tcPr>
            <w:tcW w:w="14695" w:type="dxa"/>
            <w:gridSpan w:val="6"/>
            <w:tcBorders>
              <w:top w:val="single" w:sz="4" w:space="0" w:color="000000"/>
            </w:tcBorders>
          </w:tcPr>
          <w:p w:rsidR="00067AA9" w:rsidRDefault="007111F3">
            <w:pPr>
              <w:pBdr>
                <w:top w:val="nil"/>
                <w:left w:val="nil"/>
                <w:bottom w:val="nil"/>
                <w:right w:val="nil"/>
                <w:between w:val="nil"/>
              </w:pBdr>
            </w:pPr>
            <w:r>
              <w:rPr>
                <w:b/>
              </w:rPr>
              <w:t>Duties and key result areas:</w:t>
            </w: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To engage with vulnerable young people on a regular unsupervised 1:1 basis, to identify and address their needs, to motivate and challenge, and to offer impartial information, advice, guidance and support on personal, emotional and educational issues, lear</w:t>
            </w:r>
            <w:r>
              <w:t>ning, career options, volunteering and personal development opportunities.</w:t>
            </w:r>
          </w:p>
          <w:p w:rsidR="00067AA9" w:rsidRDefault="00067AA9">
            <w:pPr>
              <w:pBdr>
                <w:top w:val="nil"/>
                <w:left w:val="nil"/>
                <w:bottom w:val="nil"/>
                <w:right w:val="nil"/>
                <w:between w:val="nil"/>
              </w:pBdr>
              <w:ind w:left="720"/>
            </w:pPr>
          </w:p>
          <w:p w:rsidR="00067AA9" w:rsidRDefault="007111F3">
            <w:pPr>
              <w:numPr>
                <w:ilvl w:val="0"/>
                <w:numId w:val="3"/>
              </w:numPr>
              <w:pBdr>
                <w:top w:val="nil"/>
                <w:left w:val="nil"/>
                <w:bottom w:val="nil"/>
                <w:right w:val="nil"/>
                <w:between w:val="nil"/>
              </w:pBdr>
            </w:pPr>
            <w:r>
              <w:t xml:space="preserve">To liaise with colleagues including SEND team, and partners including voluntary and community agencies to support and refer young people who are </w:t>
            </w:r>
            <w:proofErr w:type="spellStart"/>
            <w:r>
              <w:t>NEET</w:t>
            </w:r>
            <w:proofErr w:type="spellEnd"/>
            <w:r>
              <w:t xml:space="preserve"> into appropriate participation</w:t>
            </w:r>
            <w:r>
              <w:t xml:space="preserve">.  </w:t>
            </w:r>
          </w:p>
          <w:p w:rsidR="00067AA9" w:rsidRDefault="00067AA9">
            <w:pPr>
              <w:pBdr>
                <w:top w:val="nil"/>
                <w:left w:val="nil"/>
                <w:bottom w:val="nil"/>
                <w:right w:val="nil"/>
                <w:between w:val="nil"/>
              </w:pBdr>
              <w:ind w:left="720"/>
            </w:pPr>
          </w:p>
          <w:p w:rsidR="00067AA9" w:rsidRDefault="007111F3">
            <w:pPr>
              <w:numPr>
                <w:ilvl w:val="0"/>
                <w:numId w:val="3"/>
              </w:numPr>
              <w:pBdr>
                <w:top w:val="nil"/>
                <w:left w:val="nil"/>
                <w:bottom w:val="nil"/>
                <w:right w:val="nil"/>
                <w:between w:val="nil"/>
              </w:pBdr>
            </w:pPr>
            <w:r>
              <w:t xml:space="preserve">To liaise with colleagues and partners including voluntary and community agencies to identify and negotiate support for young people who are at risk of becoming </w:t>
            </w:r>
            <w:proofErr w:type="spellStart"/>
            <w:r>
              <w:t>NEET</w:t>
            </w:r>
            <w:proofErr w:type="spellEnd"/>
            <w:r>
              <w:t>, including those facing substantial or multiple problems preventing them from engagin</w:t>
            </w:r>
            <w:r>
              <w:t>g in learning.</w:t>
            </w: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To identify and negotiate barriers which may prevent the progression of vulnerable young people, to liaise with colleagues and partners including voluntary and community agencies and to refer or signpost to specialist services.</w:t>
            </w: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 xml:space="preserve">To develop </w:t>
            </w:r>
            <w:r>
              <w:t>and agree a personalised pathway and programme of learning with the young person and relevant partners, including work placement and independent travel training as appropriate.</w:t>
            </w: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To support the young person’s progression to, and retention in, appropriate learning provision.</w:t>
            </w: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To maintain accurate and timely Connexions Customer Identification System (</w:t>
            </w:r>
            <w:proofErr w:type="spellStart"/>
            <w:r>
              <w:t>CCIS</w:t>
            </w:r>
            <w:proofErr w:type="spellEnd"/>
            <w:r>
              <w:t>) client records on the relevant database</w:t>
            </w:r>
            <w:r>
              <w:rPr>
                <w:strike/>
              </w:rPr>
              <w:t>.</w:t>
            </w:r>
          </w:p>
          <w:p w:rsidR="00067AA9" w:rsidRDefault="00067AA9">
            <w:pPr>
              <w:pBdr>
                <w:top w:val="nil"/>
                <w:left w:val="nil"/>
                <w:bottom w:val="nil"/>
                <w:right w:val="nil"/>
                <w:between w:val="nil"/>
              </w:pBdr>
              <w:ind w:left="720"/>
            </w:pPr>
          </w:p>
          <w:p w:rsidR="00067AA9" w:rsidRDefault="00067AA9">
            <w:pPr>
              <w:pBdr>
                <w:top w:val="nil"/>
                <w:left w:val="nil"/>
                <w:bottom w:val="nil"/>
                <w:right w:val="nil"/>
                <w:between w:val="nil"/>
              </w:pBdr>
              <w:ind w:left="720"/>
            </w:pPr>
          </w:p>
          <w:p w:rsidR="00067AA9" w:rsidRDefault="007111F3">
            <w:pPr>
              <w:numPr>
                <w:ilvl w:val="0"/>
                <w:numId w:val="3"/>
              </w:numPr>
              <w:pBdr>
                <w:top w:val="nil"/>
                <w:left w:val="nil"/>
                <w:bottom w:val="nil"/>
                <w:right w:val="nil"/>
                <w:between w:val="nil"/>
              </w:pBdr>
            </w:pPr>
            <w:r>
              <w:t xml:space="preserve">To adhere to the Local Authority’s </w:t>
            </w:r>
            <w:r>
              <w:t>data sharing policy for young people and to provide relevant information to providers to assist initial assessment and support planning.</w:t>
            </w:r>
          </w:p>
          <w:p w:rsidR="00067AA9" w:rsidRDefault="00067AA9">
            <w:pPr>
              <w:pBdr>
                <w:top w:val="nil"/>
                <w:left w:val="nil"/>
                <w:bottom w:val="nil"/>
                <w:right w:val="nil"/>
                <w:between w:val="nil"/>
              </w:pBdr>
              <w:ind w:left="720"/>
            </w:pP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To liaise with high schools, special schools, academies and other learning providers to ensure timely referrals, to ensure up to date knowledge of provision and to access relevant data to update client records.</w:t>
            </w:r>
            <w:r>
              <w:rPr>
                <w:b/>
              </w:rPr>
              <w:t xml:space="preserve"> </w:t>
            </w:r>
          </w:p>
          <w:p w:rsidR="00067AA9" w:rsidRDefault="00067AA9">
            <w:pPr>
              <w:pBdr>
                <w:top w:val="nil"/>
                <w:left w:val="nil"/>
                <w:bottom w:val="nil"/>
                <w:right w:val="nil"/>
                <w:between w:val="nil"/>
              </w:pBdr>
            </w:pPr>
          </w:p>
          <w:p w:rsidR="00067AA9" w:rsidRDefault="007111F3">
            <w:pPr>
              <w:numPr>
                <w:ilvl w:val="0"/>
                <w:numId w:val="3"/>
              </w:numPr>
              <w:pBdr>
                <w:top w:val="nil"/>
                <w:left w:val="nil"/>
                <w:bottom w:val="nil"/>
                <w:right w:val="nil"/>
                <w:between w:val="nil"/>
              </w:pBdr>
            </w:pPr>
            <w:r>
              <w:t xml:space="preserve">To keep up to date with legal requirements </w:t>
            </w:r>
            <w:r>
              <w:t xml:space="preserve">and policies which affect vulnerable young people, including benefits and </w:t>
            </w:r>
            <w:proofErr w:type="gramStart"/>
            <w:r>
              <w:t>bursaries.</w:t>
            </w:r>
            <w:proofErr w:type="gramEnd"/>
          </w:p>
          <w:p w:rsidR="00067AA9" w:rsidRDefault="00067AA9">
            <w:pPr>
              <w:pBdr>
                <w:top w:val="nil"/>
                <w:left w:val="nil"/>
                <w:bottom w:val="nil"/>
                <w:right w:val="nil"/>
                <w:between w:val="nil"/>
              </w:pBdr>
              <w:ind w:left="360"/>
            </w:pPr>
          </w:p>
          <w:p w:rsidR="00067AA9" w:rsidRDefault="007111F3">
            <w:pPr>
              <w:pBdr>
                <w:top w:val="nil"/>
                <w:left w:val="nil"/>
                <w:bottom w:val="nil"/>
                <w:right w:val="nil"/>
                <w:between w:val="nil"/>
              </w:pBdr>
              <w:ind w:left="360"/>
            </w:pPr>
            <w:r>
              <w:t>11.   To ensure that the Local Authority fulfils its statutory duty to meet the Careers Information, Advice and Guidance (</w:t>
            </w:r>
            <w:proofErr w:type="spellStart"/>
            <w:r>
              <w:t>IAG</w:t>
            </w:r>
            <w:proofErr w:type="spellEnd"/>
            <w:r>
              <w:t>) needs of vulnerable young people.</w:t>
            </w:r>
          </w:p>
          <w:p w:rsidR="00067AA9" w:rsidRDefault="00067AA9">
            <w:pPr>
              <w:pBdr>
                <w:top w:val="nil"/>
                <w:left w:val="nil"/>
                <w:bottom w:val="nil"/>
                <w:right w:val="nil"/>
                <w:between w:val="nil"/>
              </w:pBdr>
              <w:ind w:left="360"/>
            </w:pPr>
          </w:p>
          <w:p w:rsidR="00067AA9" w:rsidRDefault="007111F3">
            <w:pPr>
              <w:pBdr>
                <w:top w:val="nil"/>
                <w:left w:val="nil"/>
                <w:bottom w:val="nil"/>
                <w:right w:val="nil"/>
                <w:between w:val="nil"/>
              </w:pBdr>
            </w:pPr>
            <w:r>
              <w:t>The duti</w:t>
            </w:r>
            <w:r>
              <w:t>es and responsibilities highlighted in this Job Description are indicative and may vary over time.  Post holders are expected to undertake other duties and responsibilities relevant to the nature, level and extent of the post and the grade has been establi</w:t>
            </w:r>
            <w:r>
              <w:t>shed on this basis.</w:t>
            </w:r>
          </w:p>
          <w:p w:rsidR="00067AA9" w:rsidRDefault="00067AA9">
            <w:pPr>
              <w:pBdr>
                <w:top w:val="nil"/>
                <w:left w:val="nil"/>
                <w:bottom w:val="nil"/>
                <w:right w:val="nil"/>
                <w:between w:val="nil"/>
              </w:pBdr>
            </w:pPr>
          </w:p>
        </w:tc>
      </w:tr>
      <w:tr w:rsidR="00067AA9">
        <w:tc>
          <w:tcPr>
            <w:tcW w:w="14695" w:type="dxa"/>
            <w:gridSpan w:val="6"/>
            <w:tcBorders>
              <w:top w:val="single" w:sz="4" w:space="0" w:color="000000"/>
            </w:tcBorders>
          </w:tcPr>
          <w:p w:rsidR="00067AA9" w:rsidRDefault="007111F3">
            <w:pPr>
              <w:pBdr>
                <w:top w:val="nil"/>
                <w:left w:val="nil"/>
                <w:bottom w:val="nil"/>
                <w:right w:val="nil"/>
                <w:between w:val="nil"/>
              </w:pBdr>
            </w:pPr>
            <w:r>
              <w:rPr>
                <w:b/>
              </w:rPr>
              <w:lastRenderedPageBreak/>
              <w:t>Work Arrangements</w:t>
            </w:r>
          </w:p>
        </w:tc>
      </w:tr>
      <w:tr w:rsidR="00067AA9">
        <w:trPr>
          <w:trHeight w:val="340"/>
        </w:trPr>
        <w:tc>
          <w:tcPr>
            <w:tcW w:w="6927" w:type="dxa"/>
            <w:gridSpan w:val="3"/>
            <w:tcBorders>
              <w:top w:val="single" w:sz="4" w:space="0" w:color="000000"/>
              <w:bottom w:val="single" w:sz="4" w:space="0" w:color="000000"/>
            </w:tcBorders>
          </w:tcPr>
          <w:p w:rsidR="00067AA9" w:rsidRDefault="007111F3">
            <w:pPr>
              <w:pBdr>
                <w:top w:val="nil"/>
                <w:left w:val="nil"/>
                <w:bottom w:val="nil"/>
                <w:right w:val="nil"/>
                <w:between w:val="nil"/>
              </w:pBdr>
            </w:pPr>
            <w:r>
              <w:t xml:space="preserve">Transport requirements: Frequent travel within locality area and occasionally across county.  </w:t>
            </w:r>
          </w:p>
          <w:p w:rsidR="00067AA9" w:rsidRDefault="00067AA9">
            <w:pPr>
              <w:pBdr>
                <w:top w:val="nil"/>
                <w:left w:val="nil"/>
                <w:bottom w:val="nil"/>
                <w:right w:val="nil"/>
                <w:between w:val="nil"/>
              </w:pBdr>
            </w:pPr>
          </w:p>
          <w:p w:rsidR="00067AA9" w:rsidRDefault="007111F3">
            <w:pPr>
              <w:pBdr>
                <w:top w:val="nil"/>
                <w:left w:val="nil"/>
                <w:bottom w:val="nil"/>
                <w:right w:val="nil"/>
                <w:between w:val="nil"/>
              </w:pBdr>
            </w:pPr>
            <w:proofErr w:type="spellStart"/>
            <w:r>
              <w:t>IAG</w:t>
            </w:r>
            <w:proofErr w:type="spellEnd"/>
            <w:r>
              <w:t xml:space="preserve"> Adviser caseloads will be based on 4 geographical localities within Northumberland. </w:t>
            </w:r>
          </w:p>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Working patterns: Flexible working which will include some evening working</w:t>
            </w:r>
          </w:p>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Working conditions:, Mobile working, visiting providers or working 1:1 unsupervised in a variety of settings</w:t>
            </w:r>
          </w:p>
        </w:tc>
        <w:tc>
          <w:tcPr>
            <w:tcW w:w="7768" w:type="dxa"/>
            <w:gridSpan w:val="3"/>
            <w:tcBorders>
              <w:top w:val="single" w:sz="4" w:space="0" w:color="000000"/>
              <w:bottom w:val="single" w:sz="4" w:space="0" w:color="000000"/>
            </w:tcBorders>
          </w:tcPr>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tc>
      </w:tr>
    </w:tbl>
    <w:p w:rsidR="00067AA9" w:rsidRDefault="007111F3">
      <w:pPr>
        <w:pBdr>
          <w:top w:val="nil"/>
          <w:left w:val="nil"/>
          <w:bottom w:val="nil"/>
          <w:right w:val="nil"/>
          <w:between w:val="nil"/>
        </w:pBdr>
        <w:tabs>
          <w:tab w:val="center" w:pos="6840"/>
          <w:tab w:val="right" w:pos="14040"/>
        </w:tabs>
      </w:pPr>
      <w:r>
        <w:tab/>
      </w:r>
    </w:p>
    <w:p w:rsidR="00067AA9" w:rsidRDefault="00067AA9">
      <w:pPr>
        <w:pBdr>
          <w:top w:val="nil"/>
          <w:left w:val="nil"/>
          <w:bottom w:val="nil"/>
          <w:right w:val="nil"/>
          <w:between w:val="nil"/>
        </w:pBdr>
        <w:tabs>
          <w:tab w:val="center" w:pos="6840"/>
          <w:tab w:val="right" w:pos="14040"/>
        </w:tabs>
      </w:pPr>
    </w:p>
    <w:p w:rsidR="00067AA9" w:rsidRDefault="007111F3">
      <w:pPr>
        <w:pBdr>
          <w:top w:val="nil"/>
          <w:left w:val="nil"/>
          <w:bottom w:val="nil"/>
          <w:right w:val="nil"/>
          <w:between w:val="nil"/>
        </w:pBdr>
        <w:tabs>
          <w:tab w:val="center" w:pos="6840"/>
          <w:tab w:val="right" w:pos="14040"/>
        </w:tabs>
      </w:pPr>
      <w:r>
        <w:rPr>
          <w:b/>
        </w:rPr>
        <w:t>PERSON SPECIFICATION</w:t>
      </w:r>
      <w:r>
        <w:rPr>
          <w:b/>
        </w:rPr>
        <w:tab/>
        <w:t>Appendix 2</w:t>
      </w:r>
    </w:p>
    <w:p w:rsidR="00067AA9" w:rsidRDefault="00067AA9">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3"/>
        <w:gridCol w:w="5640"/>
        <w:gridCol w:w="652"/>
        <w:gridCol w:w="917"/>
      </w:tblGrid>
      <w:tr w:rsidR="00067AA9">
        <w:tc>
          <w:tcPr>
            <w:tcW w:w="7363" w:type="dxa"/>
          </w:tcPr>
          <w:p w:rsidR="00067AA9" w:rsidRDefault="007111F3">
            <w:pPr>
              <w:pBdr>
                <w:top w:val="nil"/>
                <w:left w:val="nil"/>
                <w:bottom w:val="nil"/>
                <w:right w:val="nil"/>
                <w:between w:val="nil"/>
              </w:pBdr>
            </w:pPr>
            <w:r>
              <w:rPr>
                <w:b/>
              </w:rPr>
              <w:t xml:space="preserve">Post Title: </w:t>
            </w:r>
            <w:r>
              <w:t xml:space="preserve">   </w:t>
            </w:r>
            <w:proofErr w:type="spellStart"/>
            <w:r>
              <w:t>IAG</w:t>
            </w:r>
            <w:proofErr w:type="spellEnd"/>
            <w:r>
              <w:t xml:space="preserve"> Adviser</w:t>
            </w:r>
          </w:p>
        </w:tc>
        <w:tc>
          <w:tcPr>
            <w:tcW w:w="5640" w:type="dxa"/>
          </w:tcPr>
          <w:p w:rsidR="00067AA9" w:rsidRDefault="007111F3">
            <w:pPr>
              <w:pBdr>
                <w:top w:val="nil"/>
                <w:left w:val="nil"/>
                <w:bottom w:val="nil"/>
                <w:right w:val="nil"/>
                <w:between w:val="nil"/>
              </w:pBdr>
            </w:pPr>
            <w:r>
              <w:rPr>
                <w:b/>
              </w:rPr>
              <w:t xml:space="preserve">Director/Service/Sector: </w:t>
            </w:r>
            <w:r>
              <w:t>Wellbeing and Community Health Directorate,</w:t>
            </w:r>
          </w:p>
          <w:p w:rsidR="00067AA9" w:rsidRDefault="007111F3">
            <w:pPr>
              <w:pBdr>
                <w:top w:val="nil"/>
                <w:left w:val="nil"/>
                <w:bottom w:val="nil"/>
                <w:right w:val="nil"/>
                <w:between w:val="nil"/>
              </w:pBdr>
            </w:pPr>
            <w:r>
              <w:t>Learning and Skills Service</w:t>
            </w:r>
          </w:p>
        </w:tc>
        <w:tc>
          <w:tcPr>
            <w:tcW w:w="1569" w:type="dxa"/>
            <w:gridSpan w:val="2"/>
          </w:tcPr>
          <w:p w:rsidR="00067AA9" w:rsidRDefault="007111F3">
            <w:pPr>
              <w:pBdr>
                <w:top w:val="nil"/>
                <w:left w:val="nil"/>
                <w:bottom w:val="nil"/>
                <w:right w:val="nil"/>
                <w:between w:val="nil"/>
              </w:pBdr>
            </w:pPr>
            <w:r>
              <w:t>Ref:</w:t>
            </w:r>
          </w:p>
        </w:tc>
      </w:tr>
      <w:tr w:rsidR="00067AA9">
        <w:tc>
          <w:tcPr>
            <w:tcW w:w="7363" w:type="dxa"/>
          </w:tcPr>
          <w:p w:rsidR="00067AA9" w:rsidRDefault="007111F3">
            <w:pPr>
              <w:pBdr>
                <w:top w:val="nil"/>
                <w:left w:val="nil"/>
                <w:bottom w:val="nil"/>
                <w:right w:val="nil"/>
                <w:between w:val="nil"/>
              </w:pBdr>
            </w:pPr>
            <w:r>
              <w:rPr>
                <w:b/>
              </w:rPr>
              <w:t>Essential</w:t>
            </w:r>
          </w:p>
        </w:tc>
        <w:tc>
          <w:tcPr>
            <w:tcW w:w="6292" w:type="dxa"/>
            <w:gridSpan w:val="2"/>
          </w:tcPr>
          <w:p w:rsidR="00067AA9" w:rsidRDefault="007111F3">
            <w:pPr>
              <w:pBdr>
                <w:top w:val="nil"/>
                <w:left w:val="nil"/>
                <w:bottom w:val="nil"/>
                <w:right w:val="nil"/>
                <w:between w:val="nil"/>
              </w:pBdr>
            </w:pPr>
            <w:r>
              <w:rPr>
                <w:b/>
              </w:rPr>
              <w:t>Desirable</w:t>
            </w:r>
          </w:p>
        </w:tc>
        <w:tc>
          <w:tcPr>
            <w:tcW w:w="917" w:type="dxa"/>
          </w:tcPr>
          <w:p w:rsidR="00067AA9" w:rsidRDefault="007111F3">
            <w:pPr>
              <w:pBdr>
                <w:top w:val="nil"/>
                <w:left w:val="nil"/>
                <w:bottom w:val="nil"/>
                <w:right w:val="nil"/>
                <w:between w:val="nil"/>
              </w:pBdr>
            </w:pPr>
            <w:r>
              <w:rPr>
                <w:b/>
              </w:rPr>
              <w:t>Assess</w:t>
            </w:r>
          </w:p>
          <w:p w:rsidR="00067AA9" w:rsidRDefault="007111F3">
            <w:pPr>
              <w:pBdr>
                <w:top w:val="nil"/>
                <w:left w:val="nil"/>
                <w:bottom w:val="nil"/>
                <w:right w:val="nil"/>
                <w:between w:val="nil"/>
              </w:pBdr>
            </w:pPr>
            <w:r>
              <w:rPr>
                <w:b/>
              </w:rPr>
              <w:t>by</w:t>
            </w:r>
          </w:p>
        </w:tc>
      </w:tr>
      <w:tr w:rsidR="00067AA9">
        <w:tc>
          <w:tcPr>
            <w:tcW w:w="14572" w:type="dxa"/>
            <w:gridSpan w:val="4"/>
          </w:tcPr>
          <w:p w:rsidR="00067AA9" w:rsidRDefault="007111F3">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067AA9">
        <w:tc>
          <w:tcPr>
            <w:tcW w:w="7363" w:type="dxa"/>
          </w:tcPr>
          <w:p w:rsidR="00067AA9" w:rsidRDefault="00067AA9">
            <w:pPr>
              <w:pBdr>
                <w:top w:val="nil"/>
                <w:left w:val="nil"/>
                <w:bottom w:val="nil"/>
                <w:right w:val="nil"/>
                <w:between w:val="nil"/>
              </w:pBdr>
            </w:pPr>
          </w:p>
          <w:p w:rsidR="00067AA9" w:rsidRDefault="007111F3">
            <w:pPr>
              <w:numPr>
                <w:ilvl w:val="0"/>
                <w:numId w:val="4"/>
              </w:numPr>
              <w:pBdr>
                <w:top w:val="nil"/>
                <w:left w:val="nil"/>
                <w:bottom w:val="nil"/>
                <w:right w:val="nil"/>
                <w:between w:val="nil"/>
              </w:pBdr>
            </w:pPr>
            <w:bookmarkStart w:id="0" w:name="_GoBack"/>
            <w:r>
              <w:rPr>
                <w:rFonts w:ascii="Trebuchet MS" w:eastAsia="Trebuchet MS" w:hAnsi="Trebuchet MS" w:cs="Trebuchet MS"/>
              </w:rPr>
              <w:t>Understanding of issues and barriers facing vulnerable young people in their transition to adult and working life.</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Ability to prioritise the needs of young people.</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Knowledge and experience of working with other relevant professional organisations.</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A workin</w:t>
            </w:r>
            <w:r>
              <w:rPr>
                <w:rFonts w:ascii="Trebuchet MS" w:eastAsia="Trebuchet MS" w:hAnsi="Trebuchet MS" w:cs="Trebuchet MS"/>
              </w:rPr>
              <w:t xml:space="preserve">g knowledge of </w:t>
            </w:r>
            <w:proofErr w:type="spellStart"/>
            <w:r>
              <w:rPr>
                <w:rFonts w:ascii="Trebuchet MS" w:eastAsia="Trebuchet MS" w:hAnsi="Trebuchet MS" w:cs="Trebuchet MS"/>
              </w:rPr>
              <w:t>LMI</w:t>
            </w:r>
            <w:proofErr w:type="spellEnd"/>
            <w:r>
              <w:rPr>
                <w:rFonts w:ascii="Trebuchet MS" w:eastAsia="Trebuchet MS" w:hAnsi="Trebuchet MS" w:cs="Trebuchet MS"/>
              </w:rPr>
              <w:t xml:space="preserve"> and Careers Information, including apprenticeships and training, further and higher education options. </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An understanding of the impact upon young people’s lives of their career choices.</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Ability to communicate, manage time and manage case</w:t>
            </w:r>
            <w:r>
              <w:rPr>
                <w:rFonts w:ascii="Trebuchet MS" w:eastAsia="Trebuchet MS" w:hAnsi="Trebuchet MS" w:cs="Trebuchet MS"/>
              </w:rPr>
              <w:t>load using ICT.</w:t>
            </w:r>
          </w:p>
          <w:p w:rsidR="00067AA9" w:rsidRDefault="00067AA9">
            <w:pPr>
              <w:pBdr>
                <w:top w:val="nil"/>
                <w:left w:val="nil"/>
                <w:bottom w:val="nil"/>
                <w:right w:val="nil"/>
                <w:between w:val="nil"/>
              </w:pBdr>
              <w:ind w:left="360"/>
              <w:rPr>
                <w:rFonts w:ascii="Trebuchet MS" w:eastAsia="Trebuchet MS" w:hAnsi="Trebuchet MS" w:cs="Trebuchet MS"/>
              </w:rPr>
            </w:pP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 xml:space="preserve">Level 6 Qualification or Level 7 Diploma in Careers Information, Advice </w:t>
            </w:r>
            <w:bookmarkEnd w:id="0"/>
            <w:r>
              <w:rPr>
                <w:rFonts w:ascii="Trebuchet MS" w:eastAsia="Trebuchet MS" w:hAnsi="Trebuchet MS" w:cs="Trebuchet MS"/>
              </w:rPr>
              <w:lastRenderedPageBreak/>
              <w:t>and Guidance.</w:t>
            </w: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tc>
        <w:tc>
          <w:tcPr>
            <w:tcW w:w="6292" w:type="dxa"/>
            <w:gridSpan w:val="2"/>
          </w:tcPr>
          <w:p w:rsidR="00067AA9" w:rsidRDefault="007111F3">
            <w:pPr>
              <w:numPr>
                <w:ilvl w:val="0"/>
                <w:numId w:val="4"/>
              </w:numPr>
              <w:pBdr>
                <w:top w:val="nil"/>
                <w:left w:val="nil"/>
                <w:bottom w:val="nil"/>
                <w:right w:val="nil"/>
                <w:between w:val="nil"/>
              </w:pBdr>
            </w:pPr>
            <w:r>
              <w:rPr>
                <w:rFonts w:ascii="Trebuchet MS" w:eastAsia="Trebuchet MS" w:hAnsi="Trebuchet MS" w:cs="Trebuchet MS"/>
              </w:rPr>
              <w:lastRenderedPageBreak/>
              <w:t>Understanding of relevant legislation affecting young people’s services.</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Awareness of current developments / trends in educational and youth support practice.</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Good interpersonal and presentation skills.</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Good time management and work prioritisation skills.</w:t>
            </w: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Degree level qualification or equivalent.</w:t>
            </w:r>
          </w:p>
          <w:p w:rsidR="00067AA9" w:rsidRDefault="00067AA9">
            <w:pPr>
              <w:numPr>
                <w:ilvl w:val="0"/>
                <w:numId w:val="4"/>
              </w:numPr>
              <w:pBdr>
                <w:top w:val="nil"/>
                <w:left w:val="nil"/>
                <w:bottom w:val="nil"/>
                <w:right w:val="nil"/>
                <w:between w:val="nil"/>
              </w:pBdr>
            </w:pPr>
          </w:p>
        </w:tc>
        <w:tc>
          <w:tcPr>
            <w:tcW w:w="917" w:type="dxa"/>
          </w:tcPr>
          <w:p w:rsidR="00067AA9" w:rsidRDefault="007111F3">
            <w:pPr>
              <w:pBdr>
                <w:top w:val="nil"/>
                <w:left w:val="nil"/>
                <w:bottom w:val="nil"/>
                <w:right w:val="nil"/>
                <w:between w:val="nil"/>
              </w:pBdr>
            </w:pPr>
            <w:r>
              <w:t xml:space="preserve">(a and </w:t>
            </w:r>
            <w:proofErr w:type="spellStart"/>
            <w:r>
              <w:t>i</w:t>
            </w:r>
            <w:proofErr w:type="spellEnd"/>
            <w:r>
              <w:t>)</w:t>
            </w:r>
          </w:p>
        </w:tc>
      </w:tr>
      <w:tr w:rsidR="00067AA9">
        <w:tc>
          <w:tcPr>
            <w:tcW w:w="14572" w:type="dxa"/>
            <w:gridSpan w:val="4"/>
          </w:tcPr>
          <w:p w:rsidR="00067AA9" w:rsidRDefault="007111F3">
            <w:pPr>
              <w:pBdr>
                <w:top w:val="nil"/>
                <w:left w:val="nil"/>
                <w:bottom w:val="nil"/>
                <w:right w:val="nil"/>
                <w:between w:val="nil"/>
              </w:pBdr>
            </w:pPr>
            <w:r>
              <w:rPr>
                <w:b/>
              </w:rPr>
              <w:lastRenderedPageBreak/>
              <w:t>Experience</w:t>
            </w:r>
          </w:p>
        </w:tc>
      </w:tr>
      <w:tr w:rsidR="00067AA9">
        <w:tc>
          <w:tcPr>
            <w:tcW w:w="7363" w:type="dxa"/>
          </w:tcPr>
          <w:p w:rsidR="00067AA9" w:rsidRDefault="00067AA9">
            <w:pPr>
              <w:pBdr>
                <w:top w:val="nil"/>
                <w:left w:val="nil"/>
                <w:bottom w:val="nil"/>
                <w:right w:val="nil"/>
                <w:between w:val="nil"/>
              </w:pBdr>
            </w:pP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Working 1:1 with vulnerable young people aged 16-18 in a range of settings.</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Team and partnership working.</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Problem solving in a variety of situations.</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Use of IT in a mobile working situation.</w:t>
            </w:r>
          </w:p>
          <w:p w:rsidR="00067AA9" w:rsidRDefault="007111F3">
            <w:pPr>
              <w:numPr>
                <w:ilvl w:val="0"/>
                <w:numId w:val="4"/>
              </w:numPr>
              <w:pBdr>
                <w:top w:val="nil"/>
                <w:left w:val="nil"/>
                <w:bottom w:val="nil"/>
                <w:right w:val="nil"/>
                <w:between w:val="nil"/>
              </w:pBdr>
            </w:pPr>
            <w:r>
              <w:rPr>
                <w:rFonts w:ascii="Trebuchet MS" w:eastAsia="Trebuchet MS" w:hAnsi="Trebuchet MS" w:cs="Trebuchet MS"/>
              </w:rPr>
              <w:t xml:space="preserve">Current, clean driving licence. </w:t>
            </w: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tc>
        <w:tc>
          <w:tcPr>
            <w:tcW w:w="6292" w:type="dxa"/>
            <w:gridSpan w:val="2"/>
          </w:tcPr>
          <w:p w:rsidR="00067AA9" w:rsidRDefault="00067AA9">
            <w:pPr>
              <w:pBdr>
                <w:top w:val="nil"/>
                <w:left w:val="nil"/>
                <w:bottom w:val="nil"/>
                <w:right w:val="nil"/>
                <w:between w:val="nil"/>
              </w:pBdr>
            </w:pPr>
          </w:p>
          <w:p w:rsidR="00067AA9" w:rsidRDefault="007111F3">
            <w:pPr>
              <w:numPr>
                <w:ilvl w:val="0"/>
                <w:numId w:val="1"/>
              </w:numPr>
              <w:pBdr>
                <w:top w:val="nil"/>
                <w:left w:val="nil"/>
                <w:bottom w:val="nil"/>
                <w:right w:val="nil"/>
                <w:between w:val="nil"/>
              </w:pBdr>
            </w:pPr>
            <w:r>
              <w:rPr>
                <w:rFonts w:ascii="Trebuchet MS" w:eastAsia="Trebuchet MS" w:hAnsi="Trebuchet MS" w:cs="Trebuchet MS"/>
              </w:rPr>
              <w:t>Engaging on a one to one basis with vulnerable young people aged 13-19 in informal settings.</w:t>
            </w:r>
          </w:p>
          <w:p w:rsidR="00067AA9" w:rsidRDefault="007111F3">
            <w:pPr>
              <w:numPr>
                <w:ilvl w:val="0"/>
                <w:numId w:val="1"/>
              </w:numPr>
              <w:pBdr>
                <w:top w:val="nil"/>
                <w:left w:val="nil"/>
                <w:bottom w:val="nil"/>
                <w:right w:val="nil"/>
                <w:between w:val="nil"/>
              </w:pBdr>
            </w:pPr>
            <w:r>
              <w:rPr>
                <w:rFonts w:ascii="Trebuchet MS" w:eastAsia="Trebuchet MS" w:hAnsi="Trebuchet MS" w:cs="Trebuchet MS"/>
              </w:rPr>
              <w:t>Actively engaging young people in decision making process.</w:t>
            </w:r>
          </w:p>
          <w:p w:rsidR="00067AA9" w:rsidRDefault="007111F3">
            <w:pPr>
              <w:numPr>
                <w:ilvl w:val="0"/>
                <w:numId w:val="1"/>
              </w:numPr>
              <w:pBdr>
                <w:top w:val="nil"/>
                <w:left w:val="nil"/>
                <w:bottom w:val="nil"/>
                <w:right w:val="nil"/>
                <w:between w:val="nil"/>
              </w:pBdr>
            </w:pPr>
            <w:r>
              <w:rPr>
                <w:rFonts w:ascii="Trebuchet MS" w:eastAsia="Trebuchet MS" w:hAnsi="Trebuchet MS" w:cs="Trebuchet MS"/>
              </w:rPr>
              <w:t xml:space="preserve">Proactive and innovative approaches to working practice. </w:t>
            </w:r>
          </w:p>
          <w:p w:rsidR="00067AA9" w:rsidRDefault="007111F3">
            <w:pPr>
              <w:numPr>
                <w:ilvl w:val="0"/>
                <w:numId w:val="1"/>
              </w:numPr>
              <w:pBdr>
                <w:top w:val="nil"/>
                <w:left w:val="nil"/>
                <w:bottom w:val="nil"/>
                <w:right w:val="nil"/>
                <w:between w:val="nil"/>
              </w:pBdr>
            </w:pPr>
            <w:r>
              <w:t>Knowledge of key local authority partners, sta</w:t>
            </w:r>
            <w:r>
              <w:t>keholders, and providers involved in post 16 education, training and care.</w:t>
            </w:r>
          </w:p>
          <w:p w:rsidR="00067AA9" w:rsidRDefault="00067AA9">
            <w:pPr>
              <w:pBdr>
                <w:top w:val="nil"/>
                <w:left w:val="nil"/>
                <w:bottom w:val="nil"/>
                <w:right w:val="nil"/>
                <w:between w:val="nil"/>
              </w:pBdr>
              <w:ind w:left="720"/>
            </w:pPr>
          </w:p>
        </w:tc>
        <w:tc>
          <w:tcPr>
            <w:tcW w:w="917" w:type="dxa"/>
          </w:tcPr>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 xml:space="preserve">(a and </w:t>
            </w:r>
            <w:proofErr w:type="spellStart"/>
            <w:r>
              <w:t>i</w:t>
            </w:r>
            <w:proofErr w:type="spellEnd"/>
            <w:r>
              <w:t>)</w:t>
            </w:r>
          </w:p>
        </w:tc>
      </w:tr>
      <w:tr w:rsidR="00067AA9">
        <w:tc>
          <w:tcPr>
            <w:tcW w:w="14572" w:type="dxa"/>
            <w:gridSpan w:val="4"/>
          </w:tcPr>
          <w:p w:rsidR="00067AA9" w:rsidRDefault="007111F3">
            <w:pPr>
              <w:pBdr>
                <w:top w:val="nil"/>
                <w:left w:val="nil"/>
                <w:bottom w:val="nil"/>
                <w:right w:val="nil"/>
                <w:between w:val="nil"/>
              </w:pBdr>
            </w:pPr>
            <w:r>
              <w:rPr>
                <w:b/>
              </w:rPr>
              <w:t>Skills and competencies</w:t>
            </w:r>
          </w:p>
        </w:tc>
      </w:tr>
      <w:tr w:rsidR="00067AA9">
        <w:tc>
          <w:tcPr>
            <w:tcW w:w="7363" w:type="dxa"/>
          </w:tcPr>
          <w:p w:rsidR="00067AA9" w:rsidRDefault="00067AA9">
            <w:pPr>
              <w:pBdr>
                <w:top w:val="nil"/>
                <w:left w:val="nil"/>
                <w:bottom w:val="nil"/>
                <w:right w:val="nil"/>
                <w:between w:val="nil"/>
              </w:pBdr>
              <w:ind w:left="360"/>
            </w:pPr>
          </w:p>
          <w:p w:rsidR="00067AA9" w:rsidRDefault="007111F3">
            <w:pPr>
              <w:numPr>
                <w:ilvl w:val="0"/>
                <w:numId w:val="2"/>
              </w:numPr>
              <w:pBdr>
                <w:top w:val="nil"/>
                <w:left w:val="nil"/>
                <w:bottom w:val="nil"/>
                <w:right w:val="nil"/>
                <w:between w:val="nil"/>
              </w:pBdr>
            </w:pPr>
            <w:r>
              <w:t>Ability to work on own initiative</w:t>
            </w:r>
          </w:p>
          <w:p w:rsidR="00067AA9" w:rsidRDefault="007111F3">
            <w:pPr>
              <w:numPr>
                <w:ilvl w:val="0"/>
                <w:numId w:val="2"/>
              </w:numPr>
              <w:pBdr>
                <w:top w:val="nil"/>
                <w:left w:val="nil"/>
                <w:bottom w:val="nil"/>
                <w:right w:val="nil"/>
                <w:between w:val="nil"/>
              </w:pBdr>
            </w:pPr>
            <w:r>
              <w:t>Work systematically, able to organise self and plan and prioritise workload independently.</w:t>
            </w:r>
          </w:p>
          <w:p w:rsidR="00067AA9" w:rsidRDefault="007111F3">
            <w:pPr>
              <w:numPr>
                <w:ilvl w:val="0"/>
                <w:numId w:val="2"/>
              </w:numPr>
              <w:pBdr>
                <w:top w:val="nil"/>
                <w:left w:val="nil"/>
                <w:bottom w:val="nil"/>
                <w:right w:val="nil"/>
                <w:between w:val="nil"/>
              </w:pBdr>
            </w:pPr>
            <w:r>
              <w:t>Write clearly and manage data accurately.</w:t>
            </w:r>
          </w:p>
          <w:p w:rsidR="00067AA9" w:rsidRDefault="007111F3">
            <w:pPr>
              <w:numPr>
                <w:ilvl w:val="0"/>
                <w:numId w:val="2"/>
              </w:numPr>
              <w:pBdr>
                <w:top w:val="nil"/>
                <w:left w:val="nil"/>
                <w:bottom w:val="nil"/>
                <w:right w:val="nil"/>
                <w:between w:val="nil"/>
              </w:pBdr>
            </w:pPr>
            <w:r>
              <w:t>Deal appropriately with a range of complex and sensitive issues.</w:t>
            </w:r>
          </w:p>
          <w:p w:rsidR="00067AA9" w:rsidRDefault="007111F3">
            <w:pPr>
              <w:numPr>
                <w:ilvl w:val="0"/>
                <w:numId w:val="2"/>
              </w:numPr>
              <w:pBdr>
                <w:top w:val="nil"/>
                <w:left w:val="nil"/>
                <w:bottom w:val="nil"/>
                <w:right w:val="nil"/>
                <w:between w:val="nil"/>
              </w:pBdr>
            </w:pPr>
            <w:r>
              <w:t>Assimilate information from a variety of sources.</w:t>
            </w:r>
          </w:p>
          <w:p w:rsidR="00067AA9" w:rsidRDefault="007111F3">
            <w:pPr>
              <w:numPr>
                <w:ilvl w:val="0"/>
                <w:numId w:val="2"/>
              </w:numPr>
              <w:pBdr>
                <w:top w:val="nil"/>
                <w:left w:val="nil"/>
                <w:bottom w:val="nil"/>
                <w:right w:val="nil"/>
                <w:between w:val="nil"/>
              </w:pBdr>
            </w:pPr>
            <w:r>
              <w:t>Interpret, investigate, confirm and explain findings and relevant policies to young people and thei</w:t>
            </w:r>
            <w:r>
              <w:t>r families.</w:t>
            </w:r>
          </w:p>
          <w:p w:rsidR="00067AA9" w:rsidRDefault="007111F3">
            <w:pPr>
              <w:numPr>
                <w:ilvl w:val="0"/>
                <w:numId w:val="2"/>
              </w:numPr>
              <w:pBdr>
                <w:top w:val="nil"/>
                <w:left w:val="nil"/>
                <w:bottom w:val="nil"/>
                <w:right w:val="nil"/>
                <w:between w:val="nil"/>
              </w:pBdr>
            </w:pPr>
            <w:r>
              <w:t>Communicate with young people and their families on sensitive issues</w:t>
            </w:r>
          </w:p>
          <w:p w:rsidR="00067AA9" w:rsidRDefault="007111F3">
            <w:pPr>
              <w:numPr>
                <w:ilvl w:val="0"/>
                <w:numId w:val="2"/>
              </w:numPr>
              <w:pBdr>
                <w:top w:val="nil"/>
                <w:left w:val="nil"/>
                <w:bottom w:val="nil"/>
                <w:right w:val="nil"/>
                <w:between w:val="nil"/>
              </w:pBdr>
            </w:pPr>
            <w:r>
              <w:t>Ability to develop relationships with community organisations and to work from a range of non-Local Authority venues</w:t>
            </w:r>
          </w:p>
          <w:p w:rsidR="00067AA9" w:rsidRDefault="00067AA9">
            <w:pPr>
              <w:pBdr>
                <w:top w:val="nil"/>
                <w:left w:val="nil"/>
                <w:bottom w:val="nil"/>
                <w:right w:val="nil"/>
                <w:between w:val="nil"/>
              </w:pBdr>
            </w:pPr>
          </w:p>
        </w:tc>
        <w:tc>
          <w:tcPr>
            <w:tcW w:w="6292" w:type="dxa"/>
            <w:gridSpan w:val="2"/>
          </w:tcPr>
          <w:p w:rsidR="00067AA9" w:rsidRDefault="00067AA9">
            <w:pPr>
              <w:pBdr>
                <w:top w:val="nil"/>
                <w:left w:val="nil"/>
                <w:bottom w:val="nil"/>
                <w:right w:val="nil"/>
                <w:between w:val="nil"/>
              </w:pBdr>
            </w:pPr>
          </w:p>
        </w:tc>
        <w:tc>
          <w:tcPr>
            <w:tcW w:w="917" w:type="dxa"/>
          </w:tcPr>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 xml:space="preserve">(a, r and </w:t>
            </w:r>
            <w:proofErr w:type="spellStart"/>
            <w:r>
              <w:t>i</w:t>
            </w:r>
            <w:proofErr w:type="spellEnd"/>
            <w:r>
              <w:t>)</w:t>
            </w:r>
          </w:p>
        </w:tc>
      </w:tr>
      <w:tr w:rsidR="00067AA9">
        <w:tc>
          <w:tcPr>
            <w:tcW w:w="14572" w:type="dxa"/>
            <w:gridSpan w:val="4"/>
          </w:tcPr>
          <w:p w:rsidR="00067AA9" w:rsidRDefault="007111F3">
            <w:pPr>
              <w:pBdr>
                <w:top w:val="nil"/>
                <w:left w:val="nil"/>
                <w:bottom w:val="nil"/>
                <w:right w:val="nil"/>
                <w:between w:val="nil"/>
              </w:pBdr>
            </w:pPr>
            <w:r>
              <w:rPr>
                <w:b/>
              </w:rPr>
              <w:t>Physical, mental and emotional demands</w:t>
            </w:r>
          </w:p>
        </w:tc>
      </w:tr>
      <w:tr w:rsidR="00067AA9">
        <w:tc>
          <w:tcPr>
            <w:tcW w:w="7363" w:type="dxa"/>
          </w:tcPr>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Pressure from deadlines and conflicting / changing demands and priorities.</w:t>
            </w:r>
          </w:p>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Management of expectations or demands from young people and their families.</w:t>
            </w: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tc>
        <w:tc>
          <w:tcPr>
            <w:tcW w:w="6292" w:type="dxa"/>
            <w:gridSpan w:val="2"/>
          </w:tcPr>
          <w:p w:rsidR="00067AA9" w:rsidRDefault="00067AA9">
            <w:pPr>
              <w:pBdr>
                <w:top w:val="nil"/>
                <w:left w:val="nil"/>
                <w:bottom w:val="nil"/>
                <w:right w:val="nil"/>
                <w:between w:val="nil"/>
              </w:pBdr>
            </w:pPr>
          </w:p>
        </w:tc>
        <w:tc>
          <w:tcPr>
            <w:tcW w:w="917" w:type="dxa"/>
          </w:tcPr>
          <w:p w:rsidR="00067AA9" w:rsidRDefault="00067AA9">
            <w:pPr>
              <w:pBdr>
                <w:top w:val="nil"/>
                <w:left w:val="nil"/>
                <w:bottom w:val="nil"/>
                <w:right w:val="nil"/>
                <w:between w:val="nil"/>
              </w:pBdr>
            </w:pPr>
          </w:p>
          <w:p w:rsidR="00067AA9" w:rsidRDefault="007111F3">
            <w:pPr>
              <w:pBdr>
                <w:top w:val="nil"/>
                <w:left w:val="nil"/>
                <w:bottom w:val="nil"/>
                <w:right w:val="nil"/>
                <w:between w:val="nil"/>
              </w:pBdr>
            </w:pPr>
            <w:r>
              <w:t xml:space="preserve">(r and </w:t>
            </w:r>
            <w:proofErr w:type="spellStart"/>
            <w:r>
              <w:t>i</w:t>
            </w:r>
            <w:proofErr w:type="spellEnd"/>
            <w:r>
              <w:t>)</w:t>
            </w:r>
          </w:p>
        </w:tc>
      </w:tr>
      <w:tr w:rsidR="00067AA9">
        <w:tc>
          <w:tcPr>
            <w:tcW w:w="14572" w:type="dxa"/>
            <w:gridSpan w:val="4"/>
          </w:tcPr>
          <w:p w:rsidR="00067AA9" w:rsidRDefault="007111F3">
            <w:pPr>
              <w:pBdr>
                <w:top w:val="nil"/>
                <w:left w:val="nil"/>
                <w:bottom w:val="nil"/>
                <w:right w:val="nil"/>
                <w:between w:val="nil"/>
              </w:pBdr>
            </w:pPr>
            <w:r>
              <w:rPr>
                <w:b/>
              </w:rPr>
              <w:t>Other</w:t>
            </w:r>
          </w:p>
        </w:tc>
      </w:tr>
      <w:tr w:rsidR="00067AA9">
        <w:tc>
          <w:tcPr>
            <w:tcW w:w="7363" w:type="dxa"/>
          </w:tcPr>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p w:rsidR="00067AA9" w:rsidRDefault="00067AA9">
            <w:pPr>
              <w:pBdr>
                <w:top w:val="nil"/>
                <w:left w:val="nil"/>
                <w:bottom w:val="nil"/>
                <w:right w:val="nil"/>
                <w:between w:val="nil"/>
              </w:pBdr>
            </w:pPr>
          </w:p>
        </w:tc>
        <w:tc>
          <w:tcPr>
            <w:tcW w:w="6292" w:type="dxa"/>
            <w:gridSpan w:val="2"/>
          </w:tcPr>
          <w:p w:rsidR="00067AA9" w:rsidRDefault="00067AA9">
            <w:pPr>
              <w:pBdr>
                <w:top w:val="nil"/>
                <w:left w:val="nil"/>
                <w:bottom w:val="nil"/>
                <w:right w:val="nil"/>
                <w:between w:val="nil"/>
              </w:pBdr>
            </w:pPr>
          </w:p>
        </w:tc>
        <w:tc>
          <w:tcPr>
            <w:tcW w:w="917" w:type="dxa"/>
          </w:tcPr>
          <w:p w:rsidR="00067AA9" w:rsidRDefault="00067AA9">
            <w:pPr>
              <w:pBdr>
                <w:top w:val="nil"/>
                <w:left w:val="nil"/>
                <w:bottom w:val="nil"/>
                <w:right w:val="nil"/>
                <w:between w:val="nil"/>
              </w:pBdr>
            </w:pPr>
          </w:p>
        </w:tc>
      </w:tr>
    </w:tbl>
    <w:p w:rsidR="00067AA9" w:rsidRDefault="007111F3">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067AA9">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651E"/>
    <w:multiLevelType w:val="multilevel"/>
    <w:tmpl w:val="E586FA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21237659"/>
    <w:multiLevelType w:val="multilevel"/>
    <w:tmpl w:val="191A6E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420B664F"/>
    <w:multiLevelType w:val="multilevel"/>
    <w:tmpl w:val="4FAA826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531D481B"/>
    <w:multiLevelType w:val="multilevel"/>
    <w:tmpl w:val="CCAA1B22"/>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67AA9"/>
    <w:rsid w:val="00067AA9"/>
    <w:rsid w:val="0071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2018-06-13T14:19:00Z</dcterms:created>
  <dcterms:modified xsi:type="dcterms:W3CDTF">2018-06-13T14:19:00Z</dcterms:modified>
</cp:coreProperties>
</file>