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Assistant Manager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RHOP, LD and childrens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rFonts w:ascii="Arial" w:cs="Arial" w:eastAsia="Arial" w:hAnsi="Arial"/>
                <w:b w:val="0"/>
                <w:sz w:val="20"/>
                <w:szCs w:val="20"/>
                <w:u w:val="single"/>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 7</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JE ref: 110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Unit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w:t>
            </w:r>
            <w:r w:rsidDel="00000000" w:rsidR="00000000" w:rsidRPr="00000000">
              <w:rPr>
                <w:sz w:val="20"/>
                <w:szCs w:val="20"/>
                <w:vertAlign w:val="baseline"/>
                <w:rtl w:val="0"/>
              </w:rPr>
              <w:t xml:space="preserve">May 2010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Manage a team or teams of staff providing services to achieve allocated service objectives, where applicable meet the regulatory requirements and assist the manager in their responsibilities.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Manage a Team of staff directly delivering services to service users and/or the general public.</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Financial </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Responsible for monitoring budgets and achieving financial targets.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Shared responsibility for the resources of a team/s, including the maintenance and upkeep of buildings, vehicles, plant and equipment. Overseeing the acquisition and deployment of goods, vehicles, stores, tools and equipment within the team(s). Ensure capture and processing of service data.</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Assist to develop policies and procedures and oversee the provision of services that directly impact upon the health and well being of service users. Deals with customer care, comments and complaints as they arise.</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w:t>
              <w:tab/>
              <w:t xml:space="preserve">Manage the work of a team of staff to ensure an efficient and effective standard of service is provided to the required standard.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2.</w:t>
              <w:tab/>
              <w:t xml:space="preserve">Plan, schedule and allocate work to achieve set quality and performance standards ensuring that staff understand their role.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3.</w:t>
              <w:tab/>
              <w:t xml:space="preserve">Conduct risk assessments and ensure that understand and follow healthy and safe working practices.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4.</w:t>
              <w:tab/>
              <w:t xml:space="preserve">Assist to identify staff development needs, conduct supervisions and appraisals, arrange training and act as coach and mentor as appropriate.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5.</w:t>
              <w:tab/>
              <w:t xml:space="preserve">Deliver specific services taking responsibility for allocated customer groups, activities or transactions as assigned by senior staff from time to time.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6.</w:t>
              <w:tab/>
              <w:t xml:space="preserve">Assist to develop policy, procedures, deliver strategies, promotion and funding initiatives to bring the service’s business plans and objectives into effect.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7.</w:t>
              <w:tab/>
              <w:t xml:space="preserve">Undertake investigations, assignments and site, client or case assessments under the direction of senior members of staff and in accordance with service standards.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8.</w:t>
              <w:tab/>
              <w:t xml:space="preserve">Contribute to the maintenance of effective management and communication systems within the service in conjunction with senior colleagues.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9.</w:t>
              <w:tab/>
              <w:t xml:space="preserve">Maintain appropriate work records to the required service standards, observing data protection, privacy and confidentiality rules and procedures.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10.</w:t>
              <w:tab/>
              <w:t xml:space="preserve">Produce management reports and information based upon operational or research data to inform and assist the business planning process.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11.</w:t>
              <w:tab/>
              <w:t xml:space="preserve">Process payments, handle cash, order goods and services, receive goods and process invoices for payment in accordance with financial procedures and regulations.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12.</w:t>
              <w:tab/>
              <w:t xml:space="preserve">Monitor relevant budget headings to ensure effective spend against established targets and compliance with financial regulations.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442" w:hanging="442"/>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13.   Supervise and support client group as required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0"/>
                <w:color w:val="000000"/>
                <w:sz w:val="20"/>
                <w:szCs w:val="20"/>
                <w:vertAlign w:val="baseline"/>
              </w:rPr>
            </w:pPr>
            <w:r w:rsidDel="00000000" w:rsidR="00000000" w:rsidRPr="00000000">
              <w:rPr>
                <w:color w:val="000000"/>
                <w:sz w:val="20"/>
                <w:szCs w:val="20"/>
                <w:vertAlign w:val="baseline"/>
                <w:rtl w:val="0"/>
              </w:rPr>
              <w:t xml:space="preserve">Moving and handling service users in accordance with established procedures.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0"/>
                <w:color w:val="ff9900"/>
                <w:sz w:val="20"/>
                <w:szCs w:val="20"/>
                <w:vertAlign w:val="baseline"/>
              </w:rPr>
            </w:pPr>
            <w:r w:rsidDel="00000000" w:rsidR="00000000" w:rsidRPr="00000000">
              <w:rPr>
                <w:color w:val="000000"/>
                <w:sz w:val="20"/>
                <w:szCs w:val="20"/>
                <w:vertAlign w:val="baseline"/>
                <w:rtl w:val="0"/>
              </w:rPr>
              <w:t xml:space="preserve">Able to meet the transport requirements of the post. </w:t>
            </w:r>
            <w:r w:rsidDel="00000000" w:rsidR="00000000" w:rsidRPr="00000000">
              <w:rPr>
                <w:color w:val="ff9900"/>
                <w:sz w:val="20"/>
                <w:szCs w:val="20"/>
                <w:vertAlign w:val="baseline"/>
                <w:rtl w:val="0"/>
              </w:rPr>
              <w:t xml:space="preserv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0"/>
                <w:color w:val="ff9900"/>
                <w:sz w:val="20"/>
                <w:szCs w:val="20"/>
                <w:vertAlign w:val="baseline"/>
              </w:rPr>
            </w:pPr>
            <w:r w:rsidDel="00000000" w:rsidR="00000000" w:rsidRPr="00000000">
              <w:rPr>
                <w:color w:val="000000"/>
                <w:sz w:val="20"/>
                <w:szCs w:val="20"/>
                <w:vertAlign w:val="baseline"/>
                <w:rtl w:val="0"/>
              </w:rPr>
              <w:t xml:space="preserve">Able to meet requirements of service.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color w:val="000000"/>
                <w:sz w:val="20"/>
                <w:szCs w:val="20"/>
                <w:vertAlign w:val="baseline"/>
                <w:rtl w:val="0"/>
              </w:rPr>
              <w:t xml:space="preserve">Out of hour duty arrangements, call outs, On call responsibilities, where required</w:t>
            </w:r>
            <w:r w:rsidDel="00000000" w:rsidR="00000000" w:rsidRPr="00000000">
              <w:rPr>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10"/>
          <w:tab w:val="center" w:pos="8030"/>
        </w:tabs>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10"/>
          <w:tab w:val="center" w:pos="8030"/>
        </w:tabs>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10"/>
          <w:tab w:val="center" w:pos="8030"/>
        </w:tabs>
        <w:contextualSpacing w:val="0"/>
        <w:rPr>
          <w:rFonts w:ascii="Arial" w:cs="Arial" w:eastAsia="Arial" w:hAnsi="Arial"/>
          <w:b w:val="0"/>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1211"/>
        <w:gridCol w:w="4928"/>
        <w:gridCol w:w="755"/>
        <w:gridCol w:w="917"/>
        <w:tblGridChange w:id="0">
          <w:tblGrid>
            <w:gridCol w:w="8139"/>
            <w:gridCol w:w="1211"/>
            <w:gridCol w:w="4928"/>
            <w:gridCol w:w="755"/>
            <w:gridCol w:w="917"/>
          </w:tblGrid>
        </w:tblGridChange>
      </w:tblGrid>
      <w:tr>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Assistant Manager</w:t>
            </w:r>
            <w:r w:rsidDel="00000000" w:rsidR="00000000" w:rsidRPr="00000000">
              <w:rPr>
                <w:rtl w:val="0"/>
              </w:rPr>
            </w:r>
          </w:p>
        </w:tc>
        <w:tc>
          <w:tcPr>
            <w:gridSpan w:val="2"/>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rtl w:val="0"/>
              </w:rPr>
            </w:r>
          </w:p>
        </w:tc>
        <w:tc>
          <w:tcPr>
            <w:gridSpan w:val="2"/>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Ref: 110</w:t>
            </w:r>
            <w:r w:rsidDel="00000000" w:rsidR="00000000" w:rsidRPr="00000000">
              <w:rPr>
                <w:rtl w:val="0"/>
              </w:rPr>
            </w:r>
          </w:p>
        </w:tc>
      </w:tr>
      <w:tr>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5"/>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gridSpan w:val="2"/>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 good standard of general education demonstrating numeracy and literacy.</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 the main operational, procedural and practical issues relating to the service.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An understanding of the key health and safety issues relating to the service.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An awareness of current inter/national laws, regulations, policies, procedures, and developments in relevant field.</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Evidence of ongoing personal development.</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 the relevant client group</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NVQ level 3 in relevant field</w:t>
            </w:r>
            <w:r w:rsidDel="00000000" w:rsidR="00000000" w:rsidRPr="00000000">
              <w:rPr>
                <w:rtl w:val="0"/>
              </w:rPr>
            </w:r>
          </w:p>
        </w:tc>
        <w:tc>
          <w:tcPr>
            <w:gridSpan w:val="2"/>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Degree in a relevant subject</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Studying for a relevant management qualification or post-graduate diploma e.g. MBA, DMS.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 related technical qualification.</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NVQ 4 in management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gridSpan w:val="2"/>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Recent supervisory/managerial experience in a relevant context and service.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applying a range of relevant supervisory methods, tools and techniques.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working collaboratively with service users and other stakeholders.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engaging effectively with others and building productive partnerships.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working in care sector</w:t>
            </w:r>
            <w:r w:rsidDel="00000000" w:rsidR="00000000" w:rsidRPr="00000000">
              <w:rPr>
                <w:rtl w:val="0"/>
              </w:rPr>
            </w:r>
          </w:p>
        </w:tc>
        <w:tc>
          <w:tcPr>
            <w:gridSpan w:val="2"/>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a particular relevant specialist area.</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using Microsoft Office and Oracle applications.</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project management.</w:t>
            </w:r>
            <w:r w:rsidDel="00000000" w:rsidR="00000000" w:rsidRPr="00000000">
              <w:rPr>
                <w:rtl w:val="0"/>
              </w:rPr>
            </w:r>
          </w:p>
        </w:tc>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gridSpan w:val="2"/>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Effective IT skills and able to use ITC to achieve work objectives.</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prepare concise and accurate risk assessments.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Prepares written, verbal and other media that are rational, convincing and coherent.</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Effectively expresses own views using appropriate means depending upon the audience.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Numerate and able to prepare business related statistics.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Applies a methodical approach to problem solving.</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Negotiation skills and able to persuade others to an alternative point of view.</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 strong corporate orientation and a commitment to tackling issues in a non-departmental manner.</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Dependable, reliable and keeps good time.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Models and encourages high standards of honesty, integrity, openness, and respect for others.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Helps create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Able to apply own initiative to overcome day-to-day operational problems.</w:t>
            </w:r>
            <w:r w:rsidDel="00000000" w:rsidR="00000000" w:rsidRPr="00000000">
              <w:rPr>
                <w:rtl w:val="0"/>
              </w:rPr>
            </w:r>
          </w:p>
        </w:tc>
        <w:tc>
          <w:tcPr>
            <w:gridSpan w:val="2"/>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Skilled in the use of Microsoft Office.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in conducting staff appraisals, supervisions.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gridSpan w:val="2"/>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Normally works from a seated position but with regular need to walk, bend or carry items.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Need to maintain general awareness with ongoing periods of enhanced concentration.</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Potential contact with public/clients in dispute with the County Council.</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Able to meet the physical requirements of the post.</w:t>
            </w:r>
            <w:r w:rsidDel="00000000" w:rsidR="00000000" w:rsidRPr="00000000">
              <w:rPr>
                <w:rtl w:val="0"/>
              </w:rPr>
            </w:r>
          </w:p>
        </w:tc>
        <w:tc>
          <w:tcPr>
            <w:gridSpan w:val="2"/>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Able to satisfy ISA and CRB requirements</w:t>
            </w:r>
            <w:r w:rsidDel="00000000" w:rsidR="00000000" w:rsidRPr="00000000">
              <w:rPr>
                <w:rtl w:val="0"/>
              </w:rPr>
            </w:r>
          </w:p>
        </w:tc>
        <w:tc>
          <w:tcPr>
            <w:gridSpan w:val="3"/>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1906" w:w="16838"/>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