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85" w:type="dxa"/>
        <w:tblLook w:val="04A0" w:firstRow="1" w:lastRow="0" w:firstColumn="1" w:lastColumn="0" w:noHBand="0" w:noVBand="1"/>
      </w:tblPr>
      <w:tblGrid>
        <w:gridCol w:w="1696"/>
        <w:gridCol w:w="3283"/>
        <w:gridCol w:w="1679"/>
        <w:gridCol w:w="3827"/>
      </w:tblGrid>
      <w:tr w:rsidR="0007688D" w:rsidTr="00761DF4">
        <w:trPr>
          <w:trHeight w:val="1691"/>
        </w:trPr>
        <w:tc>
          <w:tcPr>
            <w:tcW w:w="10485" w:type="dxa"/>
            <w:gridSpan w:val="4"/>
            <w:tcBorders>
              <w:top w:val="nil"/>
              <w:left w:val="nil"/>
              <w:right w:val="nil"/>
            </w:tcBorders>
          </w:tcPr>
          <w:p w:rsidR="0007688D" w:rsidRDefault="0007688D" w:rsidP="0007688D">
            <w:pPr>
              <w:rPr>
                <w:rFonts w:ascii="Arial" w:hAnsi="Arial" w:cs="Arial"/>
                <w:sz w:val="40"/>
                <w:szCs w:val="40"/>
              </w:rPr>
            </w:pPr>
            <w:bookmarkStart w:id="0" w:name="_GoBack"/>
            <w:bookmarkEnd w:id="0"/>
            <w:r w:rsidRPr="007D5C07">
              <w:rPr>
                <w:rFonts w:ascii="Arial" w:hAnsi="Arial" w:cs="Arial"/>
                <w:noProof/>
                <w:szCs w:val="24"/>
                <w:lang w:eastAsia="en-GB"/>
              </w:rPr>
              <w:drawing>
                <wp:anchor distT="0" distB="0" distL="114300" distR="114300" simplePos="0" relativeHeight="251659264" behindDoc="0" locked="0" layoutInCell="1" allowOverlap="1">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rsidR="0007688D" w:rsidRDefault="0007688D" w:rsidP="0007688D">
            <w:r>
              <w:rPr>
                <w:rFonts w:ascii="Arial" w:hAnsi="Arial" w:cs="Arial"/>
                <w:sz w:val="40"/>
                <w:szCs w:val="40"/>
              </w:rPr>
              <w:t>Section 1</w:t>
            </w:r>
          </w:p>
          <w:p w:rsidR="0007688D" w:rsidRDefault="0007688D" w:rsidP="0007688D">
            <w:pPr>
              <w:jc w:val="right"/>
            </w:pPr>
          </w:p>
        </w:tc>
      </w:tr>
      <w:tr w:rsidR="0007688D" w:rsidTr="009A4FDD">
        <w:trPr>
          <w:trHeight w:val="709"/>
        </w:trPr>
        <w:tc>
          <w:tcPr>
            <w:tcW w:w="1696"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Job Title</w:t>
            </w:r>
          </w:p>
        </w:tc>
        <w:tc>
          <w:tcPr>
            <w:tcW w:w="3283" w:type="dxa"/>
            <w:vAlign w:val="center"/>
          </w:tcPr>
          <w:p w:rsidR="0007688D" w:rsidRPr="009A4FDD" w:rsidRDefault="001D6A1F" w:rsidP="0007688D">
            <w:pPr>
              <w:rPr>
                <w:rFonts w:ascii="Arial" w:hAnsi="Arial" w:cs="Arial"/>
              </w:rPr>
            </w:pPr>
            <w:r>
              <w:rPr>
                <w:rFonts w:ascii="Arial" w:hAnsi="Arial" w:cs="Arial"/>
              </w:rPr>
              <w:t>Pensions Manager</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rsidR="0007688D" w:rsidRPr="009A4FDD" w:rsidRDefault="001D6A1F" w:rsidP="0007688D">
            <w:pPr>
              <w:rPr>
                <w:rFonts w:ascii="Arial" w:hAnsi="Arial" w:cs="Arial"/>
              </w:rPr>
            </w:pPr>
            <w:r>
              <w:rPr>
                <w:rFonts w:ascii="Arial" w:hAnsi="Arial" w:cs="Arial"/>
              </w:rPr>
              <w:t>Resources</w:t>
            </w:r>
          </w:p>
        </w:tc>
      </w:tr>
      <w:tr w:rsidR="0007688D" w:rsidTr="009A4FDD">
        <w:trPr>
          <w:trHeight w:val="709"/>
        </w:trPr>
        <w:tc>
          <w:tcPr>
            <w:tcW w:w="1696"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Grade</w:t>
            </w:r>
          </w:p>
        </w:tc>
        <w:tc>
          <w:tcPr>
            <w:tcW w:w="3283" w:type="dxa"/>
            <w:vAlign w:val="center"/>
          </w:tcPr>
          <w:p w:rsidR="0007688D" w:rsidRPr="009A4FDD" w:rsidRDefault="001D6A1F" w:rsidP="0007688D">
            <w:pPr>
              <w:rPr>
                <w:rFonts w:ascii="Arial" w:hAnsi="Arial" w:cs="Arial"/>
              </w:rPr>
            </w:pPr>
            <w:r>
              <w:rPr>
                <w:rFonts w:ascii="Arial" w:hAnsi="Arial" w:cs="Arial"/>
              </w:rPr>
              <w:t>HPO 10</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rsidR="0007688D" w:rsidRPr="009A4FDD" w:rsidRDefault="001D6A1F" w:rsidP="0007688D">
            <w:pPr>
              <w:rPr>
                <w:rFonts w:ascii="Arial" w:hAnsi="Arial" w:cs="Arial"/>
              </w:rPr>
            </w:pPr>
            <w:r>
              <w:rPr>
                <w:rFonts w:ascii="Arial" w:hAnsi="Arial" w:cs="Arial"/>
              </w:rPr>
              <w:t>Corporate Finance &amp; Commercial Services</w:t>
            </w:r>
          </w:p>
        </w:tc>
      </w:tr>
      <w:tr w:rsidR="009A4FDD" w:rsidTr="009A4FDD">
        <w:trPr>
          <w:trHeight w:val="709"/>
        </w:trPr>
        <w:tc>
          <w:tcPr>
            <w:tcW w:w="1696" w:type="dxa"/>
            <w:shd w:val="clear" w:color="auto" w:fill="BFBFBF" w:themeFill="background1" w:themeFillShade="BF"/>
            <w:vAlign w:val="center"/>
          </w:tcPr>
          <w:p w:rsidR="009A4FDD" w:rsidRPr="00D90B5D" w:rsidRDefault="009A4FDD" w:rsidP="0007688D">
            <w:pPr>
              <w:rPr>
                <w:rFonts w:ascii="Arial" w:hAnsi="Arial" w:cs="Arial"/>
              </w:rPr>
            </w:pPr>
            <w:r w:rsidRPr="00D90B5D">
              <w:rPr>
                <w:rFonts w:ascii="Arial" w:hAnsi="Arial" w:cs="Arial"/>
                <w:b/>
              </w:rPr>
              <w:t xml:space="preserve">Reporting to: </w:t>
            </w:r>
          </w:p>
        </w:tc>
        <w:tc>
          <w:tcPr>
            <w:tcW w:w="8789" w:type="dxa"/>
            <w:gridSpan w:val="3"/>
            <w:vAlign w:val="center"/>
          </w:tcPr>
          <w:p w:rsidR="009A4FDD" w:rsidRPr="00D90B5D" w:rsidRDefault="001D6A1F" w:rsidP="009A4FDD">
            <w:pPr>
              <w:rPr>
                <w:rFonts w:ascii="Arial" w:hAnsi="Arial" w:cs="Arial"/>
              </w:rPr>
            </w:pPr>
            <w:r>
              <w:rPr>
                <w:rFonts w:ascii="Arial" w:hAnsi="Arial" w:cs="Arial"/>
              </w:rPr>
              <w:t>Head of Corporate Finance and Commercial Services</w:t>
            </w:r>
          </w:p>
        </w:tc>
      </w:tr>
      <w:tr w:rsidR="0007688D" w:rsidTr="009A4FDD">
        <w:trPr>
          <w:trHeight w:val="2268"/>
        </w:trPr>
        <w:tc>
          <w:tcPr>
            <w:tcW w:w="10485" w:type="dxa"/>
            <w:gridSpan w:val="4"/>
          </w:tcPr>
          <w:p w:rsidR="0007688D" w:rsidRPr="00D90B5D" w:rsidRDefault="0007688D" w:rsidP="009A4FDD">
            <w:pPr>
              <w:spacing w:before="120" w:after="120"/>
              <w:rPr>
                <w:rFonts w:ascii="Arial" w:hAnsi="Arial" w:cs="Arial"/>
                <w:b/>
              </w:rPr>
            </w:pPr>
            <w:r w:rsidRPr="00D90B5D">
              <w:rPr>
                <w:rFonts w:ascii="Arial" w:hAnsi="Arial" w:cs="Arial"/>
                <w:b/>
              </w:rPr>
              <w:t>Purpose of the job:</w:t>
            </w:r>
          </w:p>
          <w:p w:rsidR="0007688D" w:rsidRPr="00D90B5D" w:rsidRDefault="0007688D" w:rsidP="009A4FDD">
            <w:pPr>
              <w:autoSpaceDE w:val="0"/>
              <w:autoSpaceDN w:val="0"/>
              <w:adjustRightInd w:val="0"/>
              <w:rPr>
                <w:rFonts w:ascii="Arial" w:hAnsi="Arial" w:cs="Arial"/>
              </w:rPr>
            </w:pPr>
            <w:r w:rsidRPr="00D90B5D">
              <w:rPr>
                <w:rFonts w:ascii="Arial" w:hAnsi="Arial" w:cs="Arial"/>
              </w:rPr>
              <w:t>The post holder is responsible for providing strategic leadership, and will set the priorities, policy and direction of the team (</w:t>
            </w:r>
            <w:r w:rsidR="00582C01">
              <w:rPr>
                <w:rFonts w:ascii="Arial" w:hAnsi="Arial" w:cs="Arial"/>
              </w:rPr>
              <w:t>Pensions</w:t>
            </w:r>
            <w:r w:rsidRPr="00D90B5D">
              <w:rPr>
                <w:rFonts w:ascii="Arial" w:hAnsi="Arial" w:cs="Arial"/>
              </w:rPr>
              <w:t xml:space="preserve">) aligned to Corporate and Service priorities. They will contribute to the wider service area management team and will lead by example in terms of embedding the vision, values and behaviours of the council. </w:t>
            </w:r>
          </w:p>
          <w:p w:rsidR="0007688D" w:rsidRPr="00D90B5D" w:rsidRDefault="0007688D" w:rsidP="009A4FDD">
            <w:pPr>
              <w:autoSpaceDE w:val="0"/>
              <w:autoSpaceDN w:val="0"/>
              <w:adjustRightInd w:val="0"/>
              <w:rPr>
                <w:rFonts w:ascii="Arial" w:hAnsi="Arial" w:cs="Arial"/>
              </w:rPr>
            </w:pPr>
          </w:p>
          <w:p w:rsidR="0007688D" w:rsidRPr="00D90B5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rsidTr="009A4FDD">
        <w:trPr>
          <w:trHeight w:val="9072"/>
        </w:trPr>
        <w:tc>
          <w:tcPr>
            <w:tcW w:w="10485" w:type="dxa"/>
            <w:gridSpan w:val="4"/>
          </w:tcPr>
          <w:p w:rsidR="0007688D" w:rsidRPr="00D90B5D" w:rsidRDefault="0007688D" w:rsidP="001E4736">
            <w:pPr>
              <w:spacing w:before="120" w:after="120"/>
              <w:rPr>
                <w:rFonts w:ascii="Arial" w:hAnsi="Arial" w:cs="Arial"/>
                <w:b/>
              </w:rPr>
            </w:pPr>
            <w:r w:rsidRPr="00D90B5D">
              <w:rPr>
                <w:rFonts w:ascii="Arial" w:hAnsi="Arial" w:cs="Arial"/>
                <w:b/>
              </w:rPr>
              <w:t>Key Result Area – Corporate</w:t>
            </w:r>
          </w:p>
          <w:p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p>
          <w:p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To provide clear and visible leadership in a positive working environment;</w:t>
            </w:r>
          </w:p>
          <w:p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Contribute to the overall plan for the service, taking the lead role and advising on specialist areas of responsibility;</w:t>
            </w:r>
          </w:p>
          <w:p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in to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p w:rsidR="001E4736" w:rsidRDefault="00D90B5D" w:rsidP="001E4736">
            <w:pPr>
              <w:pStyle w:val="ListParagraph"/>
              <w:numPr>
                <w:ilvl w:val="0"/>
                <w:numId w:val="2"/>
              </w:numPr>
              <w:spacing w:before="120" w:after="120"/>
              <w:contextualSpacing w:val="0"/>
              <w:rPr>
                <w:rFonts w:ascii="Arial" w:hAnsi="Arial" w:cs="Arial"/>
              </w:rPr>
            </w:pPr>
            <w:r>
              <w:rPr>
                <w:rFonts w:ascii="Arial" w:hAnsi="Arial" w:cs="Arial"/>
              </w:rPr>
              <w:t>Contribute as appropriate in the identification of commercial opportunities that can modernise service provision, improve service delivery and deliver MTFP savings options.</w:t>
            </w:r>
          </w:p>
          <w:p w:rsidR="001E4736" w:rsidRPr="001E4736" w:rsidRDefault="001E4736" w:rsidP="001E4736">
            <w:pPr>
              <w:spacing w:before="120" w:after="120"/>
              <w:rPr>
                <w:rFonts w:ascii="Arial" w:hAnsi="Arial" w:cs="Arial"/>
                <w:b/>
              </w:rPr>
            </w:pPr>
            <w:r w:rsidRPr="001E4736">
              <w:rPr>
                <w:rFonts w:ascii="Arial" w:hAnsi="Arial" w:cs="Arial"/>
                <w:b/>
              </w:rPr>
              <w:t>Key Result Area – Generic Management</w:t>
            </w:r>
          </w:p>
          <w:p w:rsidR="001E4736" w:rsidRPr="009A4FDD" w:rsidRDefault="001E4736" w:rsidP="009A4FDD">
            <w:pPr>
              <w:pStyle w:val="ListParagraph"/>
              <w:numPr>
                <w:ilvl w:val="0"/>
                <w:numId w:val="2"/>
              </w:numPr>
              <w:spacing w:before="120" w:after="120"/>
              <w:contextualSpacing w:val="0"/>
              <w:rPr>
                <w:rFonts w:ascii="Arial" w:hAnsi="Arial" w:cs="Arial"/>
              </w:rPr>
            </w:pPr>
            <w:r>
              <w:rPr>
                <w:rFonts w:ascii="Arial" w:hAnsi="Arial" w:cs="Arial"/>
              </w:rPr>
              <w:t>Manage employees, relevant budgets and team/individual performance in accordance with council procedures and objectives</w:t>
            </w:r>
          </w:p>
        </w:tc>
      </w:tr>
      <w:tr w:rsidR="001E4736" w:rsidTr="009A4FDD">
        <w:trPr>
          <w:trHeight w:val="15299"/>
        </w:trPr>
        <w:tc>
          <w:tcPr>
            <w:tcW w:w="10485" w:type="dxa"/>
            <w:gridSpan w:val="4"/>
          </w:tcPr>
          <w:p w:rsidR="009A4FDD" w:rsidRDefault="009A4FDD" w:rsidP="001D13C8">
            <w:pPr>
              <w:pStyle w:val="ListParagraph"/>
              <w:numPr>
                <w:ilvl w:val="0"/>
                <w:numId w:val="4"/>
              </w:numPr>
              <w:spacing w:before="120" w:after="120"/>
              <w:contextualSpacing w:val="0"/>
              <w:rPr>
                <w:rFonts w:ascii="Arial" w:hAnsi="Arial" w:cs="Arial"/>
              </w:rPr>
            </w:pPr>
            <w:r>
              <w:rPr>
                <w:rFonts w:ascii="Arial" w:hAnsi="Arial" w:cs="Arial"/>
              </w:rPr>
              <w:lastRenderedPageBreak/>
              <w:t>Use workforce planning data to inform the appropriate interventions for employee development and encourage progressions, as appropriate;</w:t>
            </w:r>
          </w:p>
          <w:p w:rsidR="001D13C8" w:rsidRPr="001E4736" w:rsidRDefault="001D13C8" w:rsidP="001D13C8">
            <w:pPr>
              <w:pStyle w:val="ListParagraph"/>
              <w:numPr>
                <w:ilvl w:val="0"/>
                <w:numId w:val="4"/>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rsidR="001D13C8" w:rsidRPr="001E4736" w:rsidRDefault="001D13C8" w:rsidP="001D13C8">
            <w:pPr>
              <w:pStyle w:val="ListParagraph"/>
              <w:numPr>
                <w:ilvl w:val="0"/>
                <w:numId w:val="4"/>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Lead by example in relation to continuous professional development;</w:t>
            </w:r>
          </w:p>
          <w:p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rsidR="001E4736" w:rsidRDefault="001D13C8" w:rsidP="001D13C8">
            <w:pPr>
              <w:pStyle w:val="ListParagraph"/>
              <w:numPr>
                <w:ilvl w:val="0"/>
                <w:numId w:val="4"/>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rsidR="001D13C8" w:rsidRPr="001D13C8" w:rsidRDefault="001D13C8" w:rsidP="001D13C8">
            <w:pPr>
              <w:spacing w:before="120" w:after="120"/>
              <w:rPr>
                <w:rFonts w:ascii="Arial" w:hAnsi="Arial" w:cs="Arial"/>
                <w:b/>
              </w:rPr>
            </w:pPr>
            <w:r w:rsidRPr="001D13C8">
              <w:rPr>
                <w:rFonts w:ascii="Arial" w:hAnsi="Arial" w:cs="Arial"/>
                <w:b/>
              </w:rPr>
              <w:t>Key Result Area – Job Specific</w:t>
            </w:r>
          </w:p>
          <w:p w:rsidR="001C432F" w:rsidRDefault="001C432F" w:rsidP="00AE1936">
            <w:pPr>
              <w:pStyle w:val="ListParagraph"/>
              <w:numPr>
                <w:ilvl w:val="0"/>
                <w:numId w:val="4"/>
              </w:numPr>
              <w:spacing w:before="120" w:after="120"/>
              <w:contextualSpacing w:val="0"/>
              <w:rPr>
                <w:rFonts w:ascii="Arial" w:hAnsi="Arial" w:cs="Arial"/>
              </w:rPr>
            </w:pPr>
            <w:r>
              <w:rPr>
                <w:rFonts w:ascii="Arial" w:hAnsi="Arial" w:cs="Arial"/>
              </w:rPr>
              <w:t>Lead on the development and delivery of investment strategy for the Pension Fund, including working with advisers, the Corporate Director of Resources and the Pension Fund Committee to review and update the asset allocation strategy.</w:t>
            </w:r>
            <w:r w:rsidR="00A3225B">
              <w:rPr>
                <w:rFonts w:ascii="Arial" w:hAnsi="Arial" w:cs="Arial"/>
              </w:rPr>
              <w:t xml:space="preserve"> </w:t>
            </w:r>
          </w:p>
          <w:p w:rsidR="001D13C8" w:rsidRDefault="00AE1936" w:rsidP="00AE1936">
            <w:pPr>
              <w:pStyle w:val="ListParagraph"/>
              <w:numPr>
                <w:ilvl w:val="0"/>
                <w:numId w:val="4"/>
              </w:numPr>
              <w:spacing w:before="120" w:after="120"/>
              <w:contextualSpacing w:val="0"/>
              <w:rPr>
                <w:rFonts w:ascii="Arial" w:hAnsi="Arial" w:cs="Arial"/>
              </w:rPr>
            </w:pPr>
            <w:r>
              <w:rPr>
                <w:rFonts w:ascii="Arial" w:hAnsi="Arial" w:cs="Arial"/>
              </w:rPr>
              <w:t xml:space="preserve">Represent the service on working groups, including the provision of </w:t>
            </w:r>
            <w:r w:rsidR="003116C7">
              <w:rPr>
                <w:rFonts w:ascii="Arial" w:hAnsi="Arial" w:cs="Arial"/>
              </w:rPr>
              <w:t xml:space="preserve">strategic </w:t>
            </w:r>
            <w:r>
              <w:rPr>
                <w:rFonts w:ascii="Arial" w:hAnsi="Arial" w:cs="Arial"/>
              </w:rPr>
              <w:t>advice at the Human Resources Committee and professional associations, including developing and maintaining relationships with outside agencies and organisations as appropriate;</w:t>
            </w:r>
          </w:p>
          <w:p w:rsidR="00AE1936" w:rsidRDefault="00AE1936" w:rsidP="00AE1936">
            <w:pPr>
              <w:pStyle w:val="ListParagraph"/>
              <w:numPr>
                <w:ilvl w:val="0"/>
                <w:numId w:val="4"/>
              </w:numPr>
              <w:spacing w:before="120" w:after="120"/>
              <w:contextualSpacing w:val="0"/>
              <w:rPr>
                <w:rFonts w:ascii="Arial" w:hAnsi="Arial" w:cs="Arial"/>
              </w:rPr>
            </w:pPr>
            <w:r>
              <w:rPr>
                <w:rFonts w:ascii="Arial" w:hAnsi="Arial" w:cs="Arial"/>
              </w:rPr>
              <w:t>Lead on the development and management of all system developments and strategies for Pensions systems to ensure all processes are completed within a timely manner and a corporate package of workforce information for services is available;</w:t>
            </w:r>
          </w:p>
          <w:p w:rsidR="00AE1936" w:rsidRDefault="00AE1936" w:rsidP="00AE1936">
            <w:pPr>
              <w:pStyle w:val="ListParagraph"/>
              <w:numPr>
                <w:ilvl w:val="0"/>
                <w:numId w:val="4"/>
              </w:numPr>
              <w:spacing w:before="120" w:after="120"/>
              <w:contextualSpacing w:val="0"/>
              <w:rPr>
                <w:rFonts w:ascii="Arial" w:hAnsi="Arial" w:cs="Arial"/>
              </w:rPr>
            </w:pPr>
            <w:r>
              <w:rPr>
                <w:rFonts w:ascii="Arial" w:hAnsi="Arial" w:cs="Arial"/>
              </w:rPr>
              <w:t>Lead on the production and maintenance of management information in relation to Pensions;</w:t>
            </w:r>
          </w:p>
          <w:p w:rsidR="00AE1936" w:rsidRDefault="00AE1936" w:rsidP="00AE1936">
            <w:pPr>
              <w:pStyle w:val="ListParagraph"/>
              <w:numPr>
                <w:ilvl w:val="0"/>
                <w:numId w:val="4"/>
              </w:numPr>
              <w:spacing w:before="120" w:after="120"/>
              <w:contextualSpacing w:val="0"/>
              <w:rPr>
                <w:rFonts w:ascii="Arial" w:hAnsi="Arial" w:cs="Arial"/>
              </w:rPr>
            </w:pPr>
            <w:r>
              <w:rPr>
                <w:rFonts w:ascii="Arial" w:hAnsi="Arial" w:cs="Arial"/>
              </w:rPr>
              <w:t>Liaise with external providers regarding any Pension systems and all associated work;</w:t>
            </w:r>
          </w:p>
          <w:p w:rsidR="00784B14" w:rsidRDefault="00784B14" w:rsidP="00AE1936">
            <w:pPr>
              <w:pStyle w:val="ListParagraph"/>
              <w:numPr>
                <w:ilvl w:val="0"/>
                <w:numId w:val="4"/>
              </w:numPr>
              <w:spacing w:before="120" w:after="120"/>
              <w:contextualSpacing w:val="0"/>
              <w:rPr>
                <w:rFonts w:ascii="Arial" w:hAnsi="Arial" w:cs="Arial"/>
              </w:rPr>
            </w:pPr>
            <w:r>
              <w:rPr>
                <w:rFonts w:ascii="Arial" w:hAnsi="Arial" w:cs="Arial"/>
              </w:rPr>
              <w:t xml:space="preserve">Lead on providing </w:t>
            </w:r>
            <w:r w:rsidR="00A3225B">
              <w:rPr>
                <w:rFonts w:ascii="Arial" w:hAnsi="Arial" w:cs="Arial"/>
              </w:rPr>
              <w:t xml:space="preserve">strategic </w:t>
            </w:r>
            <w:r>
              <w:rPr>
                <w:rFonts w:ascii="Arial" w:hAnsi="Arial" w:cs="Arial"/>
              </w:rPr>
              <w:t>advice</w:t>
            </w:r>
            <w:r w:rsidR="00A3225B">
              <w:rPr>
                <w:rFonts w:ascii="Arial" w:hAnsi="Arial" w:cs="Arial"/>
              </w:rPr>
              <w:t>, information</w:t>
            </w:r>
            <w:r>
              <w:rPr>
                <w:rFonts w:ascii="Arial" w:hAnsi="Arial" w:cs="Arial"/>
              </w:rPr>
              <w:t xml:space="preserve"> and support on the Local Government Pension Scheme to </w:t>
            </w:r>
            <w:r w:rsidR="00A3225B">
              <w:rPr>
                <w:rFonts w:ascii="Arial" w:hAnsi="Arial" w:cs="Arial"/>
              </w:rPr>
              <w:t xml:space="preserve">all c.120 </w:t>
            </w:r>
            <w:r>
              <w:rPr>
                <w:rFonts w:ascii="Arial" w:hAnsi="Arial" w:cs="Arial"/>
              </w:rPr>
              <w:t xml:space="preserve">Pension Fund employers </w:t>
            </w:r>
            <w:r w:rsidR="00A3225B">
              <w:rPr>
                <w:rFonts w:ascii="Arial" w:hAnsi="Arial" w:cs="Arial"/>
              </w:rPr>
              <w:t xml:space="preserve">based across County Durham and beyond, </w:t>
            </w:r>
            <w:r>
              <w:rPr>
                <w:rFonts w:ascii="Arial" w:hAnsi="Arial" w:cs="Arial"/>
              </w:rPr>
              <w:t xml:space="preserve">and </w:t>
            </w:r>
            <w:r w:rsidR="00A3225B">
              <w:rPr>
                <w:rFonts w:ascii="Arial" w:hAnsi="Arial" w:cs="Arial"/>
              </w:rPr>
              <w:t xml:space="preserve">to </w:t>
            </w:r>
            <w:r>
              <w:rPr>
                <w:rFonts w:ascii="Arial" w:hAnsi="Arial" w:cs="Arial"/>
              </w:rPr>
              <w:t>prospective Pension Fund employers.</w:t>
            </w:r>
          </w:p>
          <w:p w:rsidR="00AE1936" w:rsidRDefault="00AE1936" w:rsidP="00AE1936">
            <w:pPr>
              <w:pStyle w:val="ListParagraph"/>
              <w:numPr>
                <w:ilvl w:val="0"/>
                <w:numId w:val="4"/>
              </w:numPr>
              <w:spacing w:before="120" w:after="120"/>
              <w:contextualSpacing w:val="0"/>
              <w:rPr>
                <w:rFonts w:ascii="Arial" w:hAnsi="Arial" w:cs="Arial"/>
              </w:rPr>
            </w:pPr>
            <w:r>
              <w:rPr>
                <w:rFonts w:ascii="Arial" w:hAnsi="Arial" w:cs="Arial"/>
              </w:rPr>
              <w:t>Lead on the delivery of a quality training programme in respect of Pensions, providing support and advice for end users;</w:t>
            </w:r>
          </w:p>
          <w:p w:rsidR="00AE1936" w:rsidRDefault="00AE1936" w:rsidP="00AE1936">
            <w:pPr>
              <w:pStyle w:val="ListParagraph"/>
              <w:numPr>
                <w:ilvl w:val="0"/>
                <w:numId w:val="4"/>
              </w:numPr>
              <w:spacing w:before="120" w:after="120"/>
              <w:contextualSpacing w:val="0"/>
              <w:rPr>
                <w:rFonts w:ascii="Arial" w:hAnsi="Arial" w:cs="Arial"/>
              </w:rPr>
            </w:pPr>
            <w:r>
              <w:rPr>
                <w:rFonts w:ascii="Arial" w:hAnsi="Arial" w:cs="Arial"/>
              </w:rPr>
              <w:t xml:space="preserve">Responsible for </w:t>
            </w:r>
            <w:r w:rsidR="001C432F">
              <w:rPr>
                <w:rFonts w:ascii="Arial" w:hAnsi="Arial" w:cs="Arial"/>
              </w:rPr>
              <w:t>leading the team that administers</w:t>
            </w:r>
            <w:r>
              <w:rPr>
                <w:rFonts w:ascii="Arial" w:hAnsi="Arial" w:cs="Arial"/>
              </w:rPr>
              <w:t xml:space="preserve"> the Local Government Pension Scheme, Fire Schemes, Teachers Premature/Early Retirement Scheme and the council’s Gratuity Schemes;</w:t>
            </w:r>
          </w:p>
          <w:p w:rsidR="00AE1936" w:rsidRDefault="00AE1936" w:rsidP="00AE1936">
            <w:pPr>
              <w:pStyle w:val="ListParagraph"/>
              <w:numPr>
                <w:ilvl w:val="0"/>
                <w:numId w:val="4"/>
              </w:numPr>
              <w:spacing w:before="120" w:after="120"/>
              <w:contextualSpacing w:val="0"/>
              <w:rPr>
                <w:rFonts w:ascii="Arial" w:hAnsi="Arial" w:cs="Arial"/>
              </w:rPr>
            </w:pPr>
            <w:r>
              <w:rPr>
                <w:rFonts w:ascii="Arial" w:hAnsi="Arial" w:cs="Arial"/>
              </w:rPr>
              <w:t>Responsible for liaison with Pension Fund investment managers and advisors and the reporting requirements of the Pension Fund Committee, Local Pension Board and Human Resources Committee;</w:t>
            </w:r>
          </w:p>
          <w:p w:rsidR="001C432F" w:rsidRDefault="001C432F" w:rsidP="00AE1936">
            <w:pPr>
              <w:pStyle w:val="ListParagraph"/>
              <w:numPr>
                <w:ilvl w:val="0"/>
                <w:numId w:val="4"/>
              </w:numPr>
              <w:spacing w:before="120" w:after="120"/>
              <w:contextualSpacing w:val="0"/>
              <w:rPr>
                <w:rFonts w:ascii="Arial" w:hAnsi="Arial" w:cs="Arial"/>
              </w:rPr>
            </w:pPr>
            <w:r>
              <w:rPr>
                <w:rFonts w:ascii="Arial" w:hAnsi="Arial" w:cs="Arial"/>
              </w:rPr>
              <w:t xml:space="preserve">Ensuring a smooth and cost-effective transfer </w:t>
            </w:r>
            <w:r w:rsidR="00061A3F">
              <w:rPr>
                <w:rFonts w:ascii="Arial" w:hAnsi="Arial" w:cs="Arial"/>
              </w:rPr>
              <w:t>of the Pension Fund’s assets from the existin</w:t>
            </w:r>
            <w:r w:rsidR="00A3225B">
              <w:rPr>
                <w:rFonts w:ascii="Arial" w:hAnsi="Arial" w:cs="Arial"/>
              </w:rPr>
              <w:t>g</w:t>
            </w:r>
            <w:r w:rsidR="00061A3F">
              <w:rPr>
                <w:rFonts w:ascii="Arial" w:hAnsi="Arial" w:cs="Arial"/>
              </w:rPr>
              <w:t xml:space="preserve"> fund managers to </w:t>
            </w:r>
            <w:r>
              <w:rPr>
                <w:rFonts w:ascii="Arial" w:hAnsi="Arial" w:cs="Arial"/>
              </w:rPr>
              <w:t>the Border to Coast Pensions Partnership</w:t>
            </w:r>
            <w:r w:rsidR="00061A3F">
              <w:rPr>
                <w:rFonts w:ascii="Arial" w:hAnsi="Arial" w:cs="Arial"/>
              </w:rPr>
              <w:t xml:space="preserve"> (BCPP). Influencing the development and delivery of investment management services by BCPP through the Council’s role as 1/12</w:t>
            </w:r>
            <w:r w:rsidR="00061A3F" w:rsidRPr="00996368">
              <w:rPr>
                <w:rFonts w:ascii="Arial" w:hAnsi="Arial" w:cs="Arial"/>
                <w:vertAlign w:val="superscript"/>
              </w:rPr>
              <w:t>th</w:t>
            </w:r>
            <w:r w:rsidR="00061A3F">
              <w:rPr>
                <w:rFonts w:ascii="Arial" w:hAnsi="Arial" w:cs="Arial"/>
              </w:rPr>
              <w:t xml:space="preserve"> shareholder.</w:t>
            </w:r>
          </w:p>
          <w:p w:rsidR="00AE1936" w:rsidRPr="007D4849" w:rsidRDefault="00AE1936" w:rsidP="007D4849">
            <w:pPr>
              <w:pStyle w:val="ListParagraph"/>
              <w:numPr>
                <w:ilvl w:val="0"/>
                <w:numId w:val="4"/>
              </w:numPr>
              <w:spacing w:before="120" w:after="120"/>
              <w:contextualSpacing w:val="0"/>
              <w:rPr>
                <w:rFonts w:ascii="Arial" w:hAnsi="Arial" w:cs="Arial"/>
              </w:rPr>
            </w:pPr>
            <w:r>
              <w:rPr>
                <w:rFonts w:ascii="Arial" w:hAnsi="Arial" w:cs="Arial"/>
              </w:rPr>
              <w:t xml:space="preserve">Publish and maintain a Funding Strategy Statements and </w:t>
            </w:r>
            <w:r w:rsidR="00784B14">
              <w:rPr>
                <w:rFonts w:ascii="Arial" w:hAnsi="Arial" w:cs="Arial"/>
              </w:rPr>
              <w:t>Investment Strategy Statement</w:t>
            </w:r>
            <w:r>
              <w:rPr>
                <w:rFonts w:ascii="Arial" w:hAnsi="Arial" w:cs="Arial"/>
              </w:rPr>
              <w:t xml:space="preserve"> for the pension fund and ensure </w:t>
            </w:r>
            <w:r w:rsidR="00784B14">
              <w:rPr>
                <w:rFonts w:ascii="Arial" w:hAnsi="Arial" w:cs="Arial"/>
              </w:rPr>
              <w:t>that they comply with regulations and best practice</w:t>
            </w:r>
            <w:r>
              <w:rPr>
                <w:rFonts w:ascii="Arial" w:hAnsi="Arial" w:cs="Arial"/>
              </w:rPr>
              <w:t>;</w:t>
            </w:r>
          </w:p>
          <w:p w:rsidR="00AE1936" w:rsidRPr="00AE1936" w:rsidRDefault="00AE1936" w:rsidP="00AE1936">
            <w:pPr>
              <w:pStyle w:val="ListParagraph"/>
              <w:spacing w:before="120" w:after="120"/>
              <w:ind w:left="360"/>
              <w:contextualSpacing w:val="0"/>
              <w:rPr>
                <w:rFonts w:ascii="Arial" w:hAnsi="Arial" w:cs="Arial"/>
              </w:rPr>
            </w:pPr>
          </w:p>
          <w:p w:rsidR="00142587" w:rsidRPr="001D13C8" w:rsidRDefault="00142587" w:rsidP="001D13C8">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tc>
      </w:tr>
    </w:tbl>
    <w:p w:rsidR="005D752A" w:rsidRDefault="005D752A">
      <w:pPr>
        <w:rPr>
          <w:sz w:val="2"/>
        </w:rPr>
        <w:sectPr w:rsidR="005D752A" w:rsidSect="001E4736">
          <w:pgSz w:w="11906" w:h="16838"/>
          <w:pgMar w:top="720" w:right="720" w:bottom="720" w:left="720" w:header="708" w:footer="708" w:gutter="0"/>
          <w:cols w:space="708"/>
          <w:docGrid w:linePitch="360"/>
        </w:sectPr>
      </w:pPr>
    </w:p>
    <w:p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rsidTr="00856290">
        <w:trPr>
          <w:trHeight w:val="660"/>
        </w:trPr>
        <w:tc>
          <w:tcPr>
            <w:tcW w:w="1696" w:type="dxa"/>
            <w:vAlign w:val="center"/>
          </w:tcPr>
          <w:p w:rsidR="005D752A" w:rsidRPr="005D752A" w:rsidRDefault="005D752A" w:rsidP="005D752A">
            <w:pPr>
              <w:rPr>
                <w:rFonts w:ascii="Arial" w:hAnsi="Arial" w:cs="Arial"/>
              </w:rPr>
            </w:pPr>
          </w:p>
        </w:tc>
        <w:tc>
          <w:tcPr>
            <w:tcW w:w="6663" w:type="dxa"/>
            <w:vAlign w:val="center"/>
          </w:tcPr>
          <w:p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rsidTr="002B08F4">
        <w:trPr>
          <w:trHeight w:val="2129"/>
        </w:trPr>
        <w:tc>
          <w:tcPr>
            <w:tcW w:w="1696" w:type="dxa"/>
          </w:tcPr>
          <w:p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rsidR="005D752A" w:rsidRPr="005D752A" w:rsidRDefault="007D4849" w:rsidP="002B08F4">
            <w:pPr>
              <w:pStyle w:val="ListParagraph"/>
              <w:numPr>
                <w:ilvl w:val="0"/>
                <w:numId w:val="4"/>
              </w:numPr>
              <w:spacing w:before="120"/>
              <w:rPr>
                <w:rFonts w:ascii="Arial" w:hAnsi="Arial" w:cs="Arial"/>
              </w:rPr>
            </w:pPr>
            <w:r>
              <w:rPr>
                <w:rFonts w:ascii="Arial" w:hAnsi="Arial" w:cs="Arial"/>
              </w:rPr>
              <w:t>Relevant</w:t>
            </w:r>
            <w:r w:rsidR="005D752A">
              <w:rPr>
                <w:rFonts w:ascii="Arial" w:hAnsi="Arial" w:cs="Arial"/>
              </w:rPr>
              <w:t xml:space="preserve"> management qualification</w:t>
            </w:r>
          </w:p>
        </w:tc>
        <w:tc>
          <w:tcPr>
            <w:tcW w:w="4819" w:type="dxa"/>
          </w:tcPr>
          <w:p w:rsidR="007D4849" w:rsidRDefault="007D4849" w:rsidP="007D4849">
            <w:pPr>
              <w:pStyle w:val="ListParagraph"/>
              <w:numPr>
                <w:ilvl w:val="0"/>
                <w:numId w:val="4"/>
              </w:numPr>
              <w:spacing w:before="120"/>
              <w:ind w:left="357" w:hanging="357"/>
              <w:contextualSpacing w:val="0"/>
              <w:rPr>
                <w:rFonts w:ascii="Arial" w:hAnsi="Arial" w:cs="Arial"/>
              </w:rPr>
            </w:pPr>
            <w:r>
              <w:rPr>
                <w:rFonts w:ascii="Arial" w:hAnsi="Arial" w:cs="Arial"/>
              </w:rPr>
              <w:t>Payroll management qualification OR CCAB Accountancy qualification OR recognised Pension qualification OR a degree or equivalent in a relevant subject and membership of an appropriate professional body;</w:t>
            </w:r>
          </w:p>
          <w:p w:rsidR="007D4849" w:rsidRPr="007D4849" w:rsidRDefault="007D4849" w:rsidP="007D4849">
            <w:pPr>
              <w:pStyle w:val="ListParagraph"/>
              <w:numPr>
                <w:ilvl w:val="0"/>
                <w:numId w:val="4"/>
              </w:numPr>
              <w:spacing w:before="120" w:after="120"/>
              <w:ind w:left="357" w:hanging="357"/>
              <w:contextualSpacing w:val="0"/>
              <w:rPr>
                <w:rFonts w:ascii="Arial" w:hAnsi="Arial" w:cs="Arial"/>
                <w:i/>
              </w:rPr>
            </w:pPr>
            <w:r w:rsidRPr="007D4849">
              <w:rPr>
                <w:rFonts w:ascii="Arial" w:hAnsi="Arial" w:cs="Arial"/>
                <w:i/>
              </w:rPr>
              <w:t>An appropriate management, professional or post graduate qualification.</w:t>
            </w:r>
          </w:p>
        </w:tc>
        <w:tc>
          <w:tcPr>
            <w:tcW w:w="2210" w:type="dxa"/>
          </w:tcPr>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7D4849">
        <w:trPr>
          <w:trHeight w:val="5084"/>
        </w:trPr>
        <w:tc>
          <w:tcPr>
            <w:tcW w:w="1696" w:type="dxa"/>
          </w:tcPr>
          <w:p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rsidR="005D752A" w:rsidRDefault="007D4849" w:rsidP="007D4849">
            <w:pPr>
              <w:pStyle w:val="ListParagraph"/>
              <w:numPr>
                <w:ilvl w:val="0"/>
                <w:numId w:val="6"/>
              </w:numPr>
              <w:spacing w:before="120" w:after="120"/>
              <w:ind w:left="357" w:hanging="357"/>
              <w:contextualSpacing w:val="0"/>
              <w:rPr>
                <w:rFonts w:ascii="Arial" w:hAnsi="Arial" w:cs="Arial"/>
              </w:rPr>
            </w:pPr>
            <w:r>
              <w:rPr>
                <w:rFonts w:ascii="Arial" w:hAnsi="Arial" w:cs="Arial"/>
              </w:rPr>
              <w:t>Extensive experience at a senior level in payroll, pensions, finance or related business administration;</w:t>
            </w:r>
          </w:p>
          <w:p w:rsidR="007D4849" w:rsidRDefault="007D4849" w:rsidP="007D4849">
            <w:pPr>
              <w:pStyle w:val="ListParagraph"/>
              <w:numPr>
                <w:ilvl w:val="0"/>
                <w:numId w:val="6"/>
              </w:numPr>
              <w:spacing w:before="120" w:after="120"/>
              <w:ind w:left="357" w:hanging="357"/>
              <w:contextualSpacing w:val="0"/>
              <w:rPr>
                <w:rFonts w:ascii="Arial" w:hAnsi="Arial" w:cs="Arial"/>
              </w:rPr>
            </w:pPr>
            <w:r>
              <w:rPr>
                <w:rFonts w:ascii="Arial" w:hAnsi="Arial" w:cs="Arial"/>
              </w:rPr>
              <w:t>Delivery of financial advice and guidance at  a senior level;</w:t>
            </w:r>
          </w:p>
          <w:p w:rsidR="007D4849" w:rsidRDefault="007D4849" w:rsidP="007D4849">
            <w:pPr>
              <w:pStyle w:val="ListParagraph"/>
              <w:numPr>
                <w:ilvl w:val="0"/>
                <w:numId w:val="6"/>
              </w:numPr>
              <w:spacing w:before="120" w:after="120"/>
              <w:ind w:left="357" w:hanging="357"/>
              <w:contextualSpacing w:val="0"/>
              <w:rPr>
                <w:rFonts w:ascii="Arial" w:hAnsi="Arial" w:cs="Arial"/>
                <w:i/>
              </w:rPr>
            </w:pPr>
            <w:r w:rsidRPr="007D4849">
              <w:rPr>
                <w:rFonts w:ascii="Arial" w:hAnsi="Arial" w:cs="Arial"/>
                <w:i/>
              </w:rPr>
              <w:t>Public sector HR/Payroll experience;</w:t>
            </w:r>
          </w:p>
          <w:p w:rsidR="007D4849" w:rsidRPr="007D4849" w:rsidRDefault="007D4849" w:rsidP="007D4849">
            <w:pPr>
              <w:pStyle w:val="ListParagraph"/>
              <w:numPr>
                <w:ilvl w:val="0"/>
                <w:numId w:val="6"/>
              </w:numPr>
              <w:spacing w:before="120" w:after="120"/>
              <w:ind w:left="357" w:hanging="357"/>
              <w:contextualSpacing w:val="0"/>
              <w:rPr>
                <w:rFonts w:ascii="Arial" w:hAnsi="Arial" w:cs="Arial"/>
                <w:i/>
              </w:rPr>
            </w:pPr>
            <w:r>
              <w:rPr>
                <w:rFonts w:ascii="Arial" w:hAnsi="Arial" w:cs="Arial"/>
                <w:i/>
              </w:rPr>
              <w:t>Experience of working in a management role in a Local Authority.</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c>
          <w:tcPr>
            <w:tcW w:w="1696" w:type="dxa"/>
          </w:tcPr>
          <w:p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Ability to think analytically, strategically and creatively and to influence and manage change across management and </w:t>
            </w:r>
            <w:r>
              <w:rPr>
                <w:rFonts w:ascii="Arial" w:hAnsi="Arial" w:cs="Arial"/>
              </w:rPr>
              <w:lastRenderedPageBreak/>
              <w:t>professional boundaries;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promote the application of digital technology to support and enhance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rsidR="005D752A" w:rsidRPr="007D4849" w:rsidRDefault="007D4849" w:rsidP="007D4849">
            <w:pPr>
              <w:pStyle w:val="ListParagraph"/>
              <w:numPr>
                <w:ilvl w:val="0"/>
                <w:numId w:val="7"/>
              </w:numPr>
              <w:spacing w:before="120" w:after="120"/>
              <w:ind w:left="357" w:hanging="357"/>
              <w:contextualSpacing w:val="0"/>
              <w:rPr>
                <w:rFonts w:ascii="Arial" w:hAnsi="Arial" w:cs="Arial"/>
              </w:rPr>
            </w:pPr>
            <w:r>
              <w:rPr>
                <w:rFonts w:ascii="Arial" w:hAnsi="Arial" w:cs="Arial"/>
              </w:rPr>
              <w:lastRenderedPageBreak/>
              <w:t>Knowledge of Local Government Pension Scheme</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 xml:space="preserve">Pre-employment </w:t>
            </w:r>
            <w:r w:rsidRPr="00813058">
              <w:rPr>
                <w:rFonts w:ascii="Arial" w:hAnsi="Arial" w:cs="Arial"/>
              </w:rPr>
              <w:lastRenderedPageBreak/>
              <w:t>checks</w:t>
            </w:r>
          </w:p>
        </w:tc>
      </w:tr>
      <w:tr w:rsidR="005D752A" w:rsidRPr="005D752A" w:rsidTr="007D4849">
        <w:trPr>
          <w:trHeight w:val="2259"/>
        </w:trPr>
        <w:tc>
          <w:tcPr>
            <w:tcW w:w="1696" w:type="dxa"/>
          </w:tcPr>
          <w:p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rsidR="005D752A" w:rsidRPr="005D752A" w:rsidRDefault="005D752A" w:rsidP="002B08F4">
            <w:pPr>
              <w:spacing w:before="120" w:after="120"/>
              <w:rPr>
                <w:rFonts w:ascii="Arial" w:hAnsi="Arial" w:cs="Arial"/>
              </w:rPr>
            </w:pP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36" w:rsidRDefault="001E4736" w:rsidP="001E4736">
      <w:pPr>
        <w:spacing w:after="0" w:line="240" w:lineRule="auto"/>
      </w:pPr>
      <w:r>
        <w:separator/>
      </w:r>
    </w:p>
  </w:endnote>
  <w:endnote w:type="continuationSeparator" w:id="0">
    <w:p w:rsidR="001E4736" w:rsidRDefault="001E4736"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36" w:rsidRDefault="001E4736" w:rsidP="001E4736">
      <w:pPr>
        <w:spacing w:after="0" w:line="240" w:lineRule="auto"/>
      </w:pPr>
      <w:r>
        <w:separator/>
      </w:r>
    </w:p>
  </w:footnote>
  <w:footnote w:type="continuationSeparator" w:id="0">
    <w:p w:rsidR="001E4736" w:rsidRDefault="001E4736" w:rsidP="001E4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D63"/>
    <w:multiLevelType w:val="hybridMultilevel"/>
    <w:tmpl w:val="7F96217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2D677982"/>
    <w:multiLevelType w:val="hybridMultilevel"/>
    <w:tmpl w:val="DC46E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nsid w:val="49BB4510"/>
    <w:multiLevelType w:val="hybridMultilevel"/>
    <w:tmpl w:val="93D25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Orton">
    <w15:presenceInfo w15:providerId="AD" w15:userId="S-1-5-21-602162358-412668190-682003330-24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8D"/>
    <w:rsid w:val="00061A3F"/>
    <w:rsid w:val="0007688D"/>
    <w:rsid w:val="00137259"/>
    <w:rsid w:val="00142587"/>
    <w:rsid w:val="001C432F"/>
    <w:rsid w:val="001D13C8"/>
    <w:rsid w:val="001D6A1F"/>
    <w:rsid w:val="001E4736"/>
    <w:rsid w:val="002B08F4"/>
    <w:rsid w:val="003116C7"/>
    <w:rsid w:val="00465DCB"/>
    <w:rsid w:val="00582C01"/>
    <w:rsid w:val="005D752A"/>
    <w:rsid w:val="00761DF4"/>
    <w:rsid w:val="0076762D"/>
    <w:rsid w:val="00784B14"/>
    <w:rsid w:val="007D4849"/>
    <w:rsid w:val="00813058"/>
    <w:rsid w:val="00856290"/>
    <w:rsid w:val="00996368"/>
    <w:rsid w:val="009A4FDD"/>
    <w:rsid w:val="00A3225B"/>
    <w:rsid w:val="00A56207"/>
    <w:rsid w:val="00AE1936"/>
    <w:rsid w:val="00D90B5D"/>
    <w:rsid w:val="00DE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alloonText">
    <w:name w:val="Balloon Text"/>
    <w:basedOn w:val="Normal"/>
    <w:link w:val="BalloonTextChar"/>
    <w:uiPriority w:val="99"/>
    <w:semiHidden/>
    <w:unhideWhenUsed/>
    <w:rsid w:val="00061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alloonText">
    <w:name w:val="Balloon Text"/>
    <w:basedOn w:val="Normal"/>
    <w:link w:val="BalloonTextChar"/>
    <w:uiPriority w:val="99"/>
    <w:semiHidden/>
    <w:unhideWhenUsed/>
    <w:rsid w:val="00061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90232-76D9-4DB2-B675-07758325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Kaps</dc:creator>
  <cp:lastModifiedBy>Lisa Mason</cp:lastModifiedBy>
  <cp:revision>2</cp:revision>
  <dcterms:created xsi:type="dcterms:W3CDTF">2018-02-25T12:46:00Z</dcterms:created>
  <dcterms:modified xsi:type="dcterms:W3CDTF">2018-02-25T12:46:00Z</dcterms:modified>
</cp:coreProperties>
</file>