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951" w:rsidRDefault="00F81951">
      <w:pPr>
        <w:tabs>
          <w:tab w:val="center" w:pos="7700"/>
          <w:tab w:val="right" w:pos="14040"/>
          <w:tab w:val="right" w:pos="15400"/>
        </w:tabs>
        <w:ind w:right="98"/>
      </w:pPr>
      <w:bookmarkStart w:id="0" w:name="_GoBack"/>
      <w:bookmarkEnd w:id="0"/>
    </w:p>
    <w:p w:rsidR="00F81951" w:rsidRDefault="00905446">
      <w:pPr>
        <w:tabs>
          <w:tab w:val="center" w:pos="7700"/>
          <w:tab w:val="right" w:pos="14040"/>
          <w:tab w:val="right" w:pos="15400"/>
        </w:tabs>
        <w:ind w:right="98"/>
        <w:rPr>
          <w:b/>
        </w:rPr>
      </w:pPr>
      <w:r>
        <w:tab/>
      </w:r>
      <w:r>
        <w:rPr>
          <w:b/>
        </w:rPr>
        <w:t>JOB DESCRIPTION</w:t>
      </w:r>
      <w:r>
        <w:rPr>
          <w:b/>
        </w:rPr>
        <w:tab/>
      </w:r>
    </w:p>
    <w:p w:rsidR="00F81951" w:rsidRDefault="00F81951">
      <w:pPr>
        <w:rPr>
          <w:b/>
        </w:rPr>
      </w:pPr>
    </w:p>
    <w:tbl>
      <w:tblPr>
        <w:tblStyle w:val="a"/>
        <w:tblW w:w="143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4560"/>
        <w:gridCol w:w="3225"/>
        <w:gridCol w:w="3870"/>
        <w:gridCol w:w="1470"/>
      </w:tblGrid>
      <w:tr w:rsidR="00F81951">
        <w:trPr>
          <w:trHeight w:val="260"/>
        </w:trPr>
        <w:tc>
          <w:tcPr>
            <w:tcW w:w="5805" w:type="dxa"/>
            <w:gridSpan w:val="2"/>
            <w:tcBorders>
              <w:top w:val="single" w:sz="4" w:space="0" w:color="000000"/>
              <w:right w:val="single" w:sz="4" w:space="0" w:color="000000"/>
            </w:tcBorders>
          </w:tcPr>
          <w:p w:rsidR="00F81951" w:rsidRDefault="00905446">
            <w:r>
              <w:t>Post Title:  Contracts and Commissioning Officer</w:t>
            </w:r>
          </w:p>
        </w:tc>
        <w:tc>
          <w:tcPr>
            <w:tcW w:w="7095" w:type="dxa"/>
            <w:gridSpan w:val="2"/>
            <w:tcBorders>
              <w:top w:val="single" w:sz="4" w:space="0" w:color="000000"/>
              <w:left w:val="single" w:sz="4" w:space="0" w:color="000000"/>
              <w:right w:val="single" w:sz="4" w:space="0" w:color="000000"/>
            </w:tcBorders>
          </w:tcPr>
          <w:p w:rsidR="00F81951" w:rsidRDefault="00905446">
            <w:r>
              <w:t>Director/Service/Sector:  Wellbeing and Community Health</w:t>
            </w:r>
          </w:p>
        </w:tc>
        <w:tc>
          <w:tcPr>
            <w:tcW w:w="1470" w:type="dxa"/>
            <w:tcBorders>
              <w:top w:val="single" w:sz="4" w:space="0" w:color="000000"/>
              <w:left w:val="single" w:sz="4" w:space="0" w:color="000000"/>
              <w:right w:val="single" w:sz="4" w:space="0" w:color="000000"/>
            </w:tcBorders>
          </w:tcPr>
          <w:p w:rsidR="00F81951" w:rsidRDefault="00905446">
            <w:r>
              <w:t>Office Use</w:t>
            </w:r>
          </w:p>
        </w:tc>
      </w:tr>
      <w:tr w:rsidR="00F81951">
        <w:trPr>
          <w:trHeight w:val="380"/>
        </w:trPr>
        <w:tc>
          <w:tcPr>
            <w:tcW w:w="5805" w:type="dxa"/>
            <w:gridSpan w:val="2"/>
            <w:tcBorders>
              <w:right w:val="single" w:sz="4" w:space="0" w:color="000000"/>
            </w:tcBorders>
          </w:tcPr>
          <w:p w:rsidR="00F81951" w:rsidRDefault="00905446">
            <w:r>
              <w:t>Band:  Band 7</w:t>
            </w:r>
          </w:p>
        </w:tc>
        <w:tc>
          <w:tcPr>
            <w:tcW w:w="7095" w:type="dxa"/>
            <w:gridSpan w:val="2"/>
            <w:tcBorders>
              <w:left w:val="single" w:sz="4" w:space="0" w:color="000000"/>
              <w:right w:val="single" w:sz="4" w:space="0" w:color="000000"/>
            </w:tcBorders>
          </w:tcPr>
          <w:p w:rsidR="00F81951" w:rsidRDefault="00905446">
            <w:r>
              <w:t>Workplace:  Based at County Hall, Morpeth but must be able to travel County- wide and able to follow agile working practices</w:t>
            </w:r>
          </w:p>
        </w:tc>
        <w:tc>
          <w:tcPr>
            <w:tcW w:w="1470" w:type="dxa"/>
            <w:tcBorders>
              <w:left w:val="single" w:sz="4" w:space="0" w:color="000000"/>
              <w:right w:val="single" w:sz="4" w:space="0" w:color="000000"/>
            </w:tcBorders>
          </w:tcPr>
          <w:p w:rsidR="00F81951" w:rsidRDefault="00905446">
            <w:r>
              <w:t>JE ref: 2896</w:t>
            </w:r>
          </w:p>
          <w:p w:rsidR="00F81951" w:rsidRDefault="00905446">
            <w:r>
              <w:t>HRMS ref:</w:t>
            </w:r>
          </w:p>
        </w:tc>
      </w:tr>
      <w:tr w:rsidR="00F81951">
        <w:trPr>
          <w:trHeight w:val="380"/>
        </w:trPr>
        <w:tc>
          <w:tcPr>
            <w:tcW w:w="5805" w:type="dxa"/>
            <w:gridSpan w:val="2"/>
            <w:tcBorders>
              <w:bottom w:val="single" w:sz="4" w:space="0" w:color="000000"/>
              <w:right w:val="single" w:sz="4" w:space="0" w:color="000000"/>
            </w:tcBorders>
          </w:tcPr>
          <w:p w:rsidR="00F81951" w:rsidRDefault="00905446">
            <w:r>
              <w:t>Responsible to: Operational Manager (Contracts)</w:t>
            </w:r>
          </w:p>
        </w:tc>
        <w:tc>
          <w:tcPr>
            <w:tcW w:w="3225" w:type="dxa"/>
            <w:tcBorders>
              <w:left w:val="single" w:sz="4" w:space="0" w:color="000000"/>
              <w:bottom w:val="single" w:sz="4" w:space="0" w:color="000000"/>
              <w:right w:val="single" w:sz="4" w:space="0" w:color="000000"/>
            </w:tcBorders>
          </w:tcPr>
          <w:p w:rsidR="00F81951" w:rsidRDefault="00905446">
            <w:r>
              <w:t xml:space="preserve">Date:  </w:t>
            </w:r>
          </w:p>
        </w:tc>
        <w:tc>
          <w:tcPr>
            <w:tcW w:w="3870" w:type="dxa"/>
            <w:tcBorders>
              <w:left w:val="single" w:sz="4" w:space="0" w:color="000000"/>
              <w:bottom w:val="single" w:sz="4" w:space="0" w:color="000000"/>
              <w:right w:val="single" w:sz="4" w:space="0" w:color="000000"/>
            </w:tcBorders>
          </w:tcPr>
          <w:p w:rsidR="00F81951" w:rsidRDefault="00905446">
            <w:r>
              <w:t xml:space="preserve">Manager Level: </w:t>
            </w:r>
          </w:p>
        </w:tc>
        <w:tc>
          <w:tcPr>
            <w:tcW w:w="1470" w:type="dxa"/>
            <w:tcBorders>
              <w:left w:val="single" w:sz="4" w:space="0" w:color="000000"/>
              <w:bottom w:val="single" w:sz="4" w:space="0" w:color="000000"/>
              <w:right w:val="single" w:sz="4" w:space="0" w:color="000000"/>
            </w:tcBorders>
          </w:tcPr>
          <w:p w:rsidR="00F81951" w:rsidRDefault="00F81951"/>
        </w:tc>
      </w:tr>
      <w:tr w:rsidR="00F81951">
        <w:tc>
          <w:tcPr>
            <w:tcW w:w="14370" w:type="dxa"/>
            <w:gridSpan w:val="5"/>
            <w:tcBorders>
              <w:bottom w:val="single" w:sz="4" w:space="0" w:color="000000"/>
            </w:tcBorders>
          </w:tcPr>
          <w:p w:rsidR="00F81951" w:rsidRDefault="00905446">
            <w:pPr>
              <w:pBdr>
                <w:top w:val="nil"/>
                <w:left w:val="nil"/>
                <w:bottom w:val="nil"/>
                <w:right w:val="nil"/>
                <w:between w:val="nil"/>
              </w:pBdr>
              <w:tabs>
                <w:tab w:val="left" w:pos="306"/>
                <w:tab w:val="left" w:pos="447"/>
                <w:tab w:val="left" w:pos="9964"/>
              </w:tabs>
              <w:ind w:left="1703" w:hanging="1681"/>
            </w:pPr>
            <w:r>
              <w:t xml:space="preserve">Job Purpose: </w:t>
            </w:r>
          </w:p>
          <w:p w:rsidR="00F81951" w:rsidRDefault="00F81951">
            <w:pPr>
              <w:pBdr>
                <w:top w:val="nil"/>
                <w:left w:val="nil"/>
                <w:bottom w:val="nil"/>
                <w:right w:val="nil"/>
                <w:between w:val="nil"/>
              </w:pBdr>
              <w:tabs>
                <w:tab w:val="left" w:pos="306"/>
                <w:tab w:val="left" w:pos="447"/>
                <w:tab w:val="left" w:pos="9964"/>
              </w:tabs>
              <w:ind w:left="1703" w:hanging="1681"/>
            </w:pPr>
          </w:p>
          <w:p w:rsidR="00F81951" w:rsidRDefault="00905446">
            <w:pPr>
              <w:widowControl/>
            </w:pPr>
            <w:r>
              <w:t>To support the Operational Manager – Contract and Commissioning in the development of contract and commissioning arrangements across the Wellbeing and Community Health Service. This will include playing a key role in the data analysis, monitoring and plann</w:t>
            </w:r>
            <w:r>
              <w:t>ing for commissioned services.</w:t>
            </w:r>
          </w:p>
          <w:p w:rsidR="00F81951" w:rsidRDefault="00F81951">
            <w:pPr>
              <w:widowControl/>
            </w:pPr>
          </w:p>
          <w:p w:rsidR="00F81951" w:rsidRDefault="00905446">
            <w:pPr>
              <w:widowControl/>
            </w:pPr>
            <w:r>
              <w:t>To ensure effective monitoring, evaluation and quality assurance processes are in place to benefit service users, with a particular focus on value for money, safety and high quality services.</w:t>
            </w:r>
          </w:p>
          <w:p w:rsidR="00F81951" w:rsidRDefault="00F81951">
            <w:pPr>
              <w:widowControl/>
            </w:pPr>
          </w:p>
          <w:p w:rsidR="00F81951" w:rsidRDefault="00905446">
            <w:pPr>
              <w:widowControl/>
            </w:pPr>
            <w:r>
              <w:t>To be responsible for the devel</w:t>
            </w:r>
            <w:r>
              <w:t>opment and implementation of specific projects working with partners to ensure the effective monitoring of joint/integrated services and the delivery of key Council efficiency programmes.</w:t>
            </w:r>
          </w:p>
          <w:p w:rsidR="00F81951" w:rsidRDefault="00F81951">
            <w:pPr>
              <w:pBdr>
                <w:top w:val="nil"/>
                <w:left w:val="nil"/>
                <w:bottom w:val="nil"/>
                <w:right w:val="nil"/>
                <w:between w:val="nil"/>
              </w:pBdr>
              <w:tabs>
                <w:tab w:val="left" w:pos="306"/>
                <w:tab w:val="left" w:pos="447"/>
                <w:tab w:val="left" w:pos="9964"/>
              </w:tabs>
              <w:ind w:left="1703" w:hanging="1681"/>
            </w:pPr>
          </w:p>
          <w:p w:rsidR="00F81951" w:rsidRDefault="00F81951"/>
        </w:tc>
      </w:tr>
      <w:tr w:rsidR="00F81951">
        <w:trPr>
          <w:trHeight w:val="300"/>
        </w:trPr>
        <w:tc>
          <w:tcPr>
            <w:tcW w:w="1245" w:type="dxa"/>
            <w:tcBorders>
              <w:top w:val="single" w:sz="4" w:space="0" w:color="000000"/>
              <w:bottom w:val="single" w:sz="4" w:space="0" w:color="000000"/>
              <w:right w:val="nil"/>
            </w:tcBorders>
          </w:tcPr>
          <w:p w:rsidR="00F81951" w:rsidRDefault="00905446">
            <w:pPr>
              <w:rPr>
                <w:sz w:val="18"/>
                <w:szCs w:val="18"/>
              </w:rPr>
            </w:pPr>
            <w:r>
              <w:rPr>
                <w:sz w:val="18"/>
                <w:szCs w:val="18"/>
              </w:rPr>
              <w:t>Resources</w:t>
            </w:r>
          </w:p>
        </w:tc>
        <w:tc>
          <w:tcPr>
            <w:tcW w:w="4560" w:type="dxa"/>
            <w:tcBorders>
              <w:top w:val="single" w:sz="4" w:space="0" w:color="000000"/>
              <w:left w:val="nil"/>
              <w:bottom w:val="single" w:sz="4" w:space="0" w:color="000000"/>
              <w:right w:val="single" w:sz="4" w:space="0" w:color="000000"/>
            </w:tcBorders>
          </w:tcPr>
          <w:p w:rsidR="00F81951" w:rsidRDefault="00905446">
            <w:pPr>
              <w:jc w:val="right"/>
            </w:pPr>
            <w:r>
              <w:t>Staff</w:t>
            </w:r>
          </w:p>
        </w:tc>
        <w:tc>
          <w:tcPr>
            <w:tcW w:w="8565" w:type="dxa"/>
            <w:gridSpan w:val="3"/>
            <w:tcBorders>
              <w:top w:val="single" w:sz="4" w:space="0" w:color="000000"/>
              <w:left w:val="single" w:sz="4" w:space="0" w:color="000000"/>
              <w:bottom w:val="single" w:sz="4" w:space="0" w:color="000000"/>
              <w:right w:val="single" w:sz="4" w:space="0" w:color="000000"/>
            </w:tcBorders>
          </w:tcPr>
          <w:p w:rsidR="00F81951" w:rsidRDefault="00905446">
            <w:pPr>
              <w:rPr>
                <w:rFonts w:ascii="Garamond" w:eastAsia="Garamond" w:hAnsi="Garamond" w:cs="Garamond"/>
              </w:rPr>
            </w:pPr>
            <w:r>
              <w:t>No direct line management responsibility is attached to this post.</w:t>
            </w:r>
            <w:r>
              <w:rPr>
                <w:rFonts w:ascii="Garamond" w:eastAsia="Garamond" w:hAnsi="Garamond" w:cs="Garamond"/>
              </w:rPr>
              <w:t xml:space="preserve"> </w:t>
            </w:r>
          </w:p>
          <w:p w:rsidR="00F81951" w:rsidRDefault="00905446">
            <w:r>
              <w:t xml:space="preserve">Provides advice and direction to multiple teams </w:t>
            </w:r>
          </w:p>
          <w:p w:rsidR="00F81951" w:rsidRDefault="00905446">
            <w:r>
              <w:t>Will be required to advise, train, mentor and coach members of staff within the team.</w:t>
            </w:r>
          </w:p>
          <w:p w:rsidR="00F81951" w:rsidRDefault="00905446">
            <w:r>
              <w:t>Will have responsibility for guidance and training of</w:t>
            </w:r>
            <w:r>
              <w:t xml:space="preserve"> staff both internal and external from time to time.</w:t>
            </w:r>
          </w:p>
        </w:tc>
      </w:tr>
      <w:tr w:rsidR="00F81951">
        <w:trPr>
          <w:trHeight w:val="300"/>
        </w:trPr>
        <w:tc>
          <w:tcPr>
            <w:tcW w:w="5805" w:type="dxa"/>
            <w:gridSpan w:val="2"/>
            <w:tcBorders>
              <w:top w:val="single" w:sz="4" w:space="0" w:color="000000"/>
            </w:tcBorders>
          </w:tcPr>
          <w:p w:rsidR="00F81951" w:rsidRDefault="00905446">
            <w:pPr>
              <w:jc w:val="right"/>
            </w:pPr>
            <w:r>
              <w:t>Finance</w:t>
            </w:r>
          </w:p>
        </w:tc>
        <w:tc>
          <w:tcPr>
            <w:tcW w:w="8565" w:type="dxa"/>
            <w:gridSpan w:val="3"/>
            <w:tcBorders>
              <w:top w:val="single" w:sz="4" w:space="0" w:color="000000"/>
              <w:right w:val="single" w:sz="4" w:space="0" w:color="000000"/>
            </w:tcBorders>
          </w:tcPr>
          <w:p w:rsidR="00F81951" w:rsidRDefault="00905446">
            <w:pPr>
              <w:widowControl/>
            </w:pPr>
            <w:r>
              <w:t xml:space="preserve">To advise and support in delivering value for money improvements. </w:t>
            </w:r>
          </w:p>
          <w:p w:rsidR="00F81951" w:rsidRDefault="00905446">
            <w:pPr>
              <w:widowControl/>
            </w:pPr>
            <w:r>
              <w:t>To assist in developing budget monitoring systems and process that facilitate effective spend of budgeted sums and service need</w:t>
            </w:r>
            <w:r>
              <w:t>s/trend analysis.</w:t>
            </w:r>
          </w:p>
          <w:p w:rsidR="00F81951" w:rsidRDefault="00905446">
            <w:r>
              <w:t xml:space="preserve">Responsible for arranging and implementing any changes to financial care items on the financial system and contracting, monitoring and reviewing that support with particular focus on quality and value for money. </w:t>
            </w:r>
          </w:p>
          <w:p w:rsidR="00F81951" w:rsidRDefault="00905446">
            <w:r>
              <w:t>To monitor services inclu</w:t>
            </w:r>
            <w:r>
              <w:t>ding cost.</w:t>
            </w:r>
          </w:p>
        </w:tc>
      </w:tr>
      <w:tr w:rsidR="00F81951">
        <w:trPr>
          <w:trHeight w:val="300"/>
        </w:trPr>
        <w:tc>
          <w:tcPr>
            <w:tcW w:w="5805" w:type="dxa"/>
            <w:gridSpan w:val="2"/>
            <w:tcBorders>
              <w:bottom w:val="single" w:sz="4" w:space="0" w:color="000000"/>
            </w:tcBorders>
          </w:tcPr>
          <w:p w:rsidR="00F81951" w:rsidRDefault="00905446">
            <w:pPr>
              <w:jc w:val="right"/>
            </w:pPr>
            <w:r>
              <w:t>Physical</w:t>
            </w:r>
          </w:p>
        </w:tc>
        <w:tc>
          <w:tcPr>
            <w:tcW w:w="8565" w:type="dxa"/>
            <w:gridSpan w:val="3"/>
            <w:tcBorders>
              <w:bottom w:val="single" w:sz="4" w:space="0" w:color="000000"/>
            </w:tcBorders>
          </w:tcPr>
          <w:p w:rsidR="00F81951" w:rsidRDefault="00905446">
            <w:r>
              <w:t>To operate key corporate systems particularly finance systems to ensure that service needs are met. Careful use of allocated tools and equipment including a PC and tablet</w:t>
            </w:r>
          </w:p>
          <w:p w:rsidR="00F81951" w:rsidRDefault="00905446">
            <w:r>
              <w:t xml:space="preserve">Input and maintain key corporate sensitive and confidential financial data and information.  </w:t>
            </w:r>
          </w:p>
          <w:p w:rsidR="00F81951" w:rsidRDefault="00905446">
            <w:r>
              <w:t>Office-based with regular travel and work from other establishments.</w:t>
            </w:r>
          </w:p>
        </w:tc>
      </w:tr>
      <w:tr w:rsidR="00F81951">
        <w:trPr>
          <w:trHeight w:val="300"/>
        </w:trPr>
        <w:tc>
          <w:tcPr>
            <w:tcW w:w="5805" w:type="dxa"/>
            <w:gridSpan w:val="2"/>
            <w:tcBorders>
              <w:bottom w:val="single" w:sz="4" w:space="0" w:color="000000"/>
            </w:tcBorders>
          </w:tcPr>
          <w:p w:rsidR="00F81951" w:rsidRDefault="00905446">
            <w:pPr>
              <w:jc w:val="right"/>
            </w:pPr>
            <w:r>
              <w:t>Clients</w:t>
            </w:r>
          </w:p>
        </w:tc>
        <w:tc>
          <w:tcPr>
            <w:tcW w:w="8565" w:type="dxa"/>
            <w:gridSpan w:val="3"/>
            <w:tcBorders>
              <w:bottom w:val="single" w:sz="4" w:space="0" w:color="000000"/>
            </w:tcBorders>
          </w:tcPr>
          <w:p w:rsidR="00F81951" w:rsidRDefault="00905446">
            <w:pPr>
              <w:widowControl/>
            </w:pPr>
            <w:r>
              <w:t xml:space="preserve">Adults whose need falls within statutory and/or universal frameworks.   </w:t>
            </w:r>
          </w:p>
          <w:p w:rsidR="00F81951" w:rsidRDefault="00905446">
            <w:pPr>
              <w:widowControl/>
            </w:pPr>
            <w:r>
              <w:t xml:space="preserve">Internal clients including officers at all levels including Service Area and </w:t>
            </w:r>
            <w:proofErr w:type="gramStart"/>
            <w:r>
              <w:t>Senior  Managers</w:t>
            </w:r>
            <w:proofErr w:type="gramEnd"/>
            <w:r>
              <w:t>.</w:t>
            </w:r>
          </w:p>
          <w:p w:rsidR="00F81951" w:rsidRDefault="00905446">
            <w:r>
              <w:t>To respond to enquiries and issues from Care Management, providers and service users/carers as appropriate.</w:t>
            </w:r>
          </w:p>
          <w:p w:rsidR="00F81951" w:rsidRDefault="00905446">
            <w:r>
              <w:t>Significant interaction with Northumbria Healthcare Care Management staff and senior staff</w:t>
            </w:r>
          </w:p>
          <w:p w:rsidR="00F81951" w:rsidRDefault="00905446">
            <w:pPr>
              <w:widowControl/>
            </w:pPr>
            <w:r>
              <w:t>Ensure compliance with relevant national legislation, council policies and procedures</w:t>
            </w:r>
          </w:p>
        </w:tc>
      </w:tr>
      <w:tr w:rsidR="00F81951">
        <w:tc>
          <w:tcPr>
            <w:tcW w:w="14370" w:type="dxa"/>
            <w:gridSpan w:val="5"/>
            <w:tcBorders>
              <w:top w:val="single" w:sz="4" w:space="0" w:color="000000"/>
            </w:tcBorders>
          </w:tcPr>
          <w:p w:rsidR="00F81951" w:rsidRDefault="00905446">
            <w:r>
              <w:rPr>
                <w:b/>
              </w:rPr>
              <w:lastRenderedPageBreak/>
              <w:t xml:space="preserve">Duties and key result areas: </w:t>
            </w:r>
            <w:r>
              <w:t>Individually or as part of a team</w:t>
            </w:r>
          </w:p>
          <w:p w:rsidR="00F81951" w:rsidRDefault="00F81951">
            <w:pPr>
              <w:rPr>
                <w:b/>
              </w:rPr>
            </w:pPr>
          </w:p>
          <w:p w:rsidR="00F81951" w:rsidRDefault="00F81951">
            <w:pPr>
              <w:rPr>
                <w:b/>
              </w:rPr>
            </w:pPr>
          </w:p>
          <w:p w:rsidR="00F81951" w:rsidRDefault="00905446">
            <w:pPr>
              <w:rPr>
                <w:b/>
              </w:rPr>
            </w:pPr>
            <w:r>
              <w:rPr>
                <w:b/>
              </w:rPr>
              <w:t>Duties will i</w:t>
            </w:r>
            <w:r>
              <w:rPr>
                <w:b/>
              </w:rPr>
              <w:t>nclude:</w:t>
            </w:r>
          </w:p>
          <w:p w:rsidR="00F81951" w:rsidRDefault="00F81951">
            <w:pPr>
              <w:rPr>
                <w:b/>
                <w:color w:val="FF0000"/>
              </w:rPr>
            </w:pPr>
          </w:p>
          <w:p w:rsidR="00F81951" w:rsidRDefault="00905446">
            <w:pPr>
              <w:widowControl/>
            </w:pPr>
            <w:r>
              <w:t>1)  To support contract and commissioning arrangements with adult social care providers   to meet identified need within the Wellbeing and Community Health Service. (</w:t>
            </w:r>
            <w:proofErr w:type="gramStart"/>
            <w:r>
              <w:t>need</w:t>
            </w:r>
            <w:proofErr w:type="gramEnd"/>
            <w:r>
              <w:t xml:space="preserve"> will relate to the physical, mental, social and economic wellbeing of people</w:t>
            </w:r>
            <w:r>
              <w:t xml:space="preserve"> with an emphasis on adults as a client group.) </w:t>
            </w:r>
            <w:r>
              <w:rPr>
                <w:rFonts w:ascii="Garamond" w:eastAsia="Garamond" w:hAnsi="Garamond" w:cs="Garamond"/>
              </w:rPr>
              <w:t xml:space="preserve"> </w:t>
            </w:r>
            <w:r>
              <w:t xml:space="preserve">Activity will include collecting and analysing data; writing contract documentation, grant agreements, Service Level Agreements </w:t>
            </w:r>
            <w:proofErr w:type="spellStart"/>
            <w:r>
              <w:t>etc</w:t>
            </w:r>
            <w:proofErr w:type="spellEnd"/>
            <w:r>
              <w:t xml:space="preserve"> and quality assurance procedures; involvement in service re tendering and o</w:t>
            </w:r>
            <w:r>
              <w:t xml:space="preserve">ther procurement processes; and managing and monitoring contracts with support from Operations Manager. It will involve </w:t>
            </w:r>
            <w:proofErr w:type="gramStart"/>
            <w:r>
              <w:t>working  positively</w:t>
            </w:r>
            <w:proofErr w:type="gramEnd"/>
            <w:r>
              <w:t xml:space="preserve"> and professionally with internal and external service providers and Service Users. The range of services to be inclu</w:t>
            </w:r>
            <w:r>
              <w:t xml:space="preserve">ded will have an emphasis on adult services but will also fall under the broader remit of the Wellbeing and Community Health Service. </w:t>
            </w:r>
          </w:p>
          <w:p w:rsidR="00F81951" w:rsidRDefault="00F81951">
            <w:pPr>
              <w:widowControl/>
            </w:pPr>
          </w:p>
          <w:p w:rsidR="00F81951" w:rsidRDefault="00905446">
            <w:pPr>
              <w:widowControl/>
              <w:ind w:left="255" w:hanging="285"/>
            </w:pPr>
            <w:r>
              <w:t>2) To support the business planning process, including assisting in the development and implementation of business cases</w:t>
            </w:r>
            <w:r>
              <w:t xml:space="preserve"> either on a </w:t>
            </w:r>
            <w:proofErr w:type="spellStart"/>
            <w:r>
              <w:t>stand alone</w:t>
            </w:r>
            <w:proofErr w:type="spellEnd"/>
            <w:r>
              <w:t xml:space="preserve"> or joint commissioning basis</w:t>
            </w:r>
            <w:proofErr w:type="gramStart"/>
            <w:r>
              <w:t>..</w:t>
            </w:r>
            <w:proofErr w:type="gramEnd"/>
            <w:r>
              <w:t xml:space="preserve">  This will include the development of strategies to address service gaps whilst paying due regard to both national and organisational policies. </w:t>
            </w:r>
          </w:p>
          <w:p w:rsidR="00F81951" w:rsidRDefault="00F81951">
            <w:pPr>
              <w:widowControl/>
            </w:pPr>
          </w:p>
          <w:p w:rsidR="00F81951" w:rsidRDefault="00905446">
            <w:pPr>
              <w:widowControl/>
              <w:ind w:left="255" w:hanging="285"/>
            </w:pPr>
            <w:r>
              <w:t>3) To review budgets and resources with commissioned s</w:t>
            </w:r>
            <w:r>
              <w:t>ervices across the Service with a view to supporting the Senior Manager – Commissioning</w:t>
            </w:r>
            <w:proofErr w:type="gramStart"/>
            <w:r>
              <w:t>..</w:t>
            </w:r>
            <w:proofErr w:type="gramEnd"/>
            <w:r>
              <w:t xml:space="preserve"> This will include de-commissioning services and the redirection of resources to deliver key targets and outcomes as well as identifying areas for efficiency and impro</w:t>
            </w:r>
            <w:r>
              <w:t>vement and making effective use of resources. This may involve the adaptation of established policies and processes to better meet the changing demands placed upon the service.</w:t>
            </w:r>
          </w:p>
          <w:p w:rsidR="00F81951" w:rsidRDefault="00F81951">
            <w:pPr>
              <w:widowControl/>
              <w:ind w:left="255" w:hanging="285"/>
            </w:pPr>
          </w:p>
          <w:p w:rsidR="00F81951" w:rsidRDefault="00905446">
            <w:pPr>
              <w:widowControl/>
              <w:ind w:left="255" w:hanging="285"/>
            </w:pPr>
            <w:r>
              <w:t>4) Where appropriate, to negotiate legally binding contracts with external providers ensuring risk transfer, value for money and protection of the Council’s interests. This will include the need to be proactive in identifying “value for money” improvements</w:t>
            </w:r>
            <w:r>
              <w:t xml:space="preserve"> and ensuring compliance with the Council’s procurement arrangements.</w:t>
            </w:r>
          </w:p>
          <w:p w:rsidR="00F81951" w:rsidRDefault="00905446">
            <w:pPr>
              <w:widowControl/>
              <w:spacing w:before="280" w:after="280"/>
              <w:ind w:left="255" w:hanging="285"/>
            </w:pPr>
            <w:r>
              <w:t>5) To support the development of robust mechanisms for establishing quality and financial control. This will include developing technical, information and budgetary support systems (incl</w:t>
            </w:r>
            <w:r>
              <w:t xml:space="preserve">uding SWIFT) in order to meet specific requirements in a robust and timely manner. </w:t>
            </w:r>
          </w:p>
          <w:p w:rsidR="00F81951" w:rsidRDefault="00905446">
            <w:pPr>
              <w:widowControl/>
              <w:ind w:left="255" w:hanging="285"/>
            </w:pPr>
            <w:r>
              <w:t>6) To support the development of robust mechanisms for performance monitoring the standard and effectiveness of strategic commissioning issues and quality of services and m</w:t>
            </w:r>
            <w:r>
              <w:t xml:space="preserve">ay include benchmarking of services locally and nationally. This will include liaison with external partners such as the Care Quality Commission (CQC), health commissioners, CCG and </w:t>
            </w:r>
            <w:proofErr w:type="spellStart"/>
            <w:r>
              <w:t>Healthwatch</w:t>
            </w:r>
            <w:proofErr w:type="spellEnd"/>
            <w:r>
              <w:t>.</w:t>
            </w:r>
          </w:p>
          <w:p w:rsidR="00F81951" w:rsidRDefault="00F81951">
            <w:pPr>
              <w:widowControl/>
            </w:pPr>
          </w:p>
          <w:p w:rsidR="00F81951" w:rsidRDefault="00905446">
            <w:pPr>
              <w:widowControl/>
            </w:pPr>
            <w:r>
              <w:t>7) Assist the Wellbeing and Community Health management staf</w:t>
            </w:r>
            <w:r>
              <w:t>f to model, evaluate</w:t>
            </w:r>
            <w:proofErr w:type="gramStart"/>
            <w:r>
              <w:t>,  interpret</w:t>
            </w:r>
            <w:proofErr w:type="gramEnd"/>
            <w:r>
              <w:t xml:space="preserve"> and link commissioning information and financial data ensuring that patterns and anomalies are identified and value for money is achieved.</w:t>
            </w:r>
          </w:p>
          <w:p w:rsidR="00F81951" w:rsidRDefault="00F81951">
            <w:pPr>
              <w:widowControl/>
            </w:pPr>
          </w:p>
          <w:p w:rsidR="00F81951" w:rsidRDefault="00905446">
            <w:pPr>
              <w:widowControl/>
            </w:pPr>
            <w:r>
              <w:t>8) To produce detailed and articulate commissioning reports which enable senior man</w:t>
            </w:r>
            <w:r>
              <w:t>agers to make strategic decisions and manage resources effectively</w:t>
            </w:r>
          </w:p>
          <w:p w:rsidR="00F81951" w:rsidRDefault="00F81951">
            <w:pPr>
              <w:widowControl/>
            </w:pPr>
          </w:p>
          <w:p w:rsidR="00F81951" w:rsidRDefault="00905446">
            <w:pPr>
              <w:widowControl/>
            </w:pPr>
            <w:r>
              <w:t>9) To support the development of relationships across independent, voluntary and public sector partners which promotes participation, involvement and the co-production of service re-design</w:t>
            </w:r>
            <w:r>
              <w:t xml:space="preserve"> and review. </w:t>
            </w:r>
          </w:p>
          <w:p w:rsidR="00F81951" w:rsidRDefault="00F81951">
            <w:pPr>
              <w:widowControl/>
            </w:pPr>
          </w:p>
          <w:p w:rsidR="00F81951" w:rsidRDefault="00905446">
            <w:pPr>
              <w:widowControl/>
            </w:pPr>
            <w:r>
              <w:t>10) To lead on the development and delivery of key service types and long term projects which provide for real efficiency savings and/or continuous service improvements in quality, performance and efficiency. This will include leading on asp</w:t>
            </w:r>
            <w:r>
              <w:t xml:space="preserve">ects of commissioning associated with the implementation of care </w:t>
            </w:r>
            <w:r>
              <w:lastRenderedPageBreak/>
              <w:t>planning. It will also include sub regional commissioning activity which has a current focus on the mechanism to support the purchase of services with independent providers. Assist in support</w:t>
            </w:r>
            <w:r>
              <w:t>ing the development and delivery of projects.</w:t>
            </w:r>
          </w:p>
          <w:p w:rsidR="00F81951" w:rsidRDefault="00F81951">
            <w:pPr>
              <w:widowControl/>
              <w:rPr>
                <w:color w:val="0000FF"/>
              </w:rPr>
            </w:pPr>
          </w:p>
          <w:p w:rsidR="00F81951" w:rsidRDefault="00905446">
            <w:pPr>
              <w:widowControl/>
            </w:pPr>
            <w:r>
              <w:t>11) To ensure key business linkages are in place between the commissioning, finance, procurement and operational functions across the Group.</w:t>
            </w:r>
          </w:p>
          <w:p w:rsidR="00F81951" w:rsidRDefault="00F81951">
            <w:pPr>
              <w:widowControl/>
            </w:pPr>
          </w:p>
          <w:p w:rsidR="00F81951" w:rsidRDefault="00905446">
            <w:r>
              <w:t>12) As required to provide advice and support to internal and exter</w:t>
            </w:r>
            <w:r>
              <w:t>nal staff, in respect of contracting and commissioning  arrangements, compliance and monitoring and support with the provision of information in relation to Freedom of Information requests.  This may include mentoring and coaching of other staff within the</w:t>
            </w:r>
            <w:r>
              <w:t xml:space="preserve"> team, as and when the need arises.</w:t>
            </w:r>
          </w:p>
          <w:p w:rsidR="00F81951" w:rsidRDefault="00F81951"/>
          <w:p w:rsidR="00F81951" w:rsidRDefault="00905446">
            <w:pPr>
              <w:jc w:val="both"/>
            </w:pPr>
            <w:r>
              <w:t xml:space="preserve">13) To work with service providers and regulatory bodies to ensure that where there are quality and/or </w:t>
            </w:r>
            <w:proofErr w:type="gramStart"/>
            <w:r>
              <w:t>financial  issues</w:t>
            </w:r>
            <w:proofErr w:type="gramEnd"/>
            <w:r>
              <w:t>, guidance and support is given, Service Improvement Plans are put in place and monitored and enfor</w:t>
            </w:r>
            <w:r>
              <w:t xml:space="preserve">cement action is taken.  </w:t>
            </w:r>
          </w:p>
          <w:p w:rsidR="00F81951" w:rsidRDefault="00F81951">
            <w:pPr>
              <w:jc w:val="both"/>
            </w:pPr>
          </w:p>
          <w:p w:rsidR="00F81951" w:rsidRDefault="00905446">
            <w:pPr>
              <w:jc w:val="both"/>
            </w:pPr>
            <w:r>
              <w:t>14</w:t>
            </w:r>
            <w:proofErr w:type="gramStart"/>
            <w:r>
              <w:t>)To</w:t>
            </w:r>
            <w:proofErr w:type="gramEnd"/>
            <w:r>
              <w:t xml:space="preserve"> support compliance with the Council's  Safeguarding arrangements, by all contracted Services.</w:t>
            </w:r>
          </w:p>
          <w:p w:rsidR="00F81951" w:rsidRDefault="00F81951">
            <w:pPr>
              <w:jc w:val="both"/>
            </w:pPr>
          </w:p>
          <w:p w:rsidR="00F81951" w:rsidRDefault="00905446">
            <w:pPr>
              <w:jc w:val="both"/>
            </w:pPr>
            <w:r>
              <w:t xml:space="preserve">15) Any other duties consistent with the nature, level and grade of the post as may be assigned by the Senior Manager – Commissioning and other senior colleagues.  </w:t>
            </w:r>
          </w:p>
          <w:p w:rsidR="00F81951" w:rsidRDefault="00F81951">
            <w:pPr>
              <w:widowControl/>
            </w:pPr>
          </w:p>
          <w:p w:rsidR="00F81951" w:rsidRDefault="00905446">
            <w:pPr>
              <w:widowControl/>
            </w:pPr>
            <w:r>
              <w:t>The duties and responsibilities highlighted in this Job Description are indicative and may</w:t>
            </w:r>
            <w:r>
              <w:t xml:space="preserve"> vary over time.  Post holders are expected to undertake other duties and responsibilities relevant to the nature, level and extent of the post and the grade has been established on this basis.</w:t>
            </w:r>
          </w:p>
          <w:p w:rsidR="00F81951" w:rsidRDefault="00F81951"/>
        </w:tc>
      </w:tr>
      <w:tr w:rsidR="00F81951">
        <w:tc>
          <w:tcPr>
            <w:tcW w:w="14370" w:type="dxa"/>
            <w:gridSpan w:val="5"/>
            <w:tcBorders>
              <w:top w:val="single" w:sz="4" w:space="0" w:color="000000"/>
            </w:tcBorders>
          </w:tcPr>
          <w:p w:rsidR="00F81951" w:rsidRDefault="00905446">
            <w:pPr>
              <w:rPr>
                <w:b/>
              </w:rPr>
            </w:pPr>
            <w:r>
              <w:rPr>
                <w:b/>
              </w:rPr>
              <w:lastRenderedPageBreak/>
              <w:t>Work Arrangements</w:t>
            </w:r>
          </w:p>
        </w:tc>
      </w:tr>
      <w:tr w:rsidR="00F81951">
        <w:trPr>
          <w:trHeight w:val="340"/>
        </w:trPr>
        <w:tc>
          <w:tcPr>
            <w:tcW w:w="5805" w:type="dxa"/>
            <w:gridSpan w:val="2"/>
            <w:tcBorders>
              <w:top w:val="single" w:sz="4" w:space="0" w:color="000000"/>
              <w:bottom w:val="single" w:sz="4" w:space="0" w:color="000000"/>
            </w:tcBorders>
          </w:tcPr>
          <w:p w:rsidR="00F81951" w:rsidRDefault="00905446">
            <w:r>
              <w:t>Transport requirements:</w:t>
            </w:r>
          </w:p>
          <w:p w:rsidR="00F81951" w:rsidRDefault="00F81951"/>
          <w:p w:rsidR="00F81951" w:rsidRDefault="00F81951"/>
          <w:p w:rsidR="00F81951" w:rsidRDefault="00F81951"/>
          <w:p w:rsidR="00F81951" w:rsidRDefault="00F81951"/>
          <w:p w:rsidR="00F81951" w:rsidRDefault="00905446">
            <w:r>
              <w:t>Working patte</w:t>
            </w:r>
            <w:r>
              <w:t xml:space="preserve">rns: </w:t>
            </w:r>
          </w:p>
          <w:p w:rsidR="00F81951" w:rsidRDefault="00F81951"/>
          <w:p w:rsidR="00F81951" w:rsidRDefault="00F81951"/>
          <w:p w:rsidR="00F81951" w:rsidRDefault="00F81951"/>
          <w:p w:rsidR="00F81951" w:rsidRDefault="00F81951"/>
          <w:p w:rsidR="00F81951" w:rsidRDefault="00905446">
            <w:r>
              <w:t>Working conditions:</w:t>
            </w:r>
          </w:p>
        </w:tc>
        <w:tc>
          <w:tcPr>
            <w:tcW w:w="8565" w:type="dxa"/>
            <w:gridSpan w:val="3"/>
            <w:tcBorders>
              <w:top w:val="single" w:sz="4" w:space="0" w:color="000000"/>
              <w:bottom w:val="single" w:sz="4" w:space="0" w:color="000000"/>
            </w:tcBorders>
          </w:tcPr>
          <w:p w:rsidR="00F81951" w:rsidRDefault="00905446">
            <w:r>
              <w:t xml:space="preserve">To </w:t>
            </w:r>
            <w:proofErr w:type="gramStart"/>
            <w:r>
              <w:t>regularly  travel</w:t>
            </w:r>
            <w:proofErr w:type="gramEnd"/>
            <w:r>
              <w:t xml:space="preserve"> around the County.</w:t>
            </w:r>
          </w:p>
          <w:p w:rsidR="00F81951" w:rsidRDefault="00905446">
            <w:r>
              <w:t>Involves travel to work sites, area offices, client’s homes or training venues throughout the County and further afield on occasion.</w:t>
            </w:r>
          </w:p>
          <w:p w:rsidR="00F81951" w:rsidRDefault="00905446">
            <w:r>
              <w:t>Able to meet the transport requirements of the post.</w:t>
            </w:r>
          </w:p>
          <w:p w:rsidR="00F81951" w:rsidRDefault="00F81951"/>
          <w:p w:rsidR="00F81951" w:rsidRDefault="00905446">
            <w:r>
              <w:t>Normal office hours, however due to the nature of the service flexibility of start and finish times may be required</w:t>
            </w:r>
          </w:p>
          <w:p w:rsidR="00F81951" w:rsidRDefault="00905446">
            <w:r>
              <w:t>Flexible working arrangements with the need to work outside of normal working hours as required.</w:t>
            </w:r>
          </w:p>
          <w:p w:rsidR="00F81951" w:rsidRDefault="00F81951"/>
          <w:p w:rsidR="00F81951" w:rsidRDefault="00905446">
            <w:r>
              <w:t>Required to undertake lone working outsid</w:t>
            </w:r>
            <w:r>
              <w:t>e of normal office hours on occasions</w:t>
            </w:r>
          </w:p>
          <w:p w:rsidR="00F81951" w:rsidRDefault="00905446">
            <w:r>
              <w:t>Required to work outside the office base on a regular basis</w:t>
            </w:r>
          </w:p>
        </w:tc>
      </w:tr>
    </w:tbl>
    <w:p w:rsidR="00F81951" w:rsidRDefault="00F81951">
      <w:pPr>
        <w:tabs>
          <w:tab w:val="center" w:pos="6840"/>
          <w:tab w:val="right" w:pos="14040"/>
        </w:tabs>
      </w:pPr>
    </w:p>
    <w:p w:rsidR="00F81951" w:rsidRDefault="00F81951">
      <w:pPr>
        <w:tabs>
          <w:tab w:val="center" w:pos="6840"/>
          <w:tab w:val="right" w:pos="14040"/>
        </w:tabs>
      </w:pPr>
    </w:p>
    <w:p w:rsidR="00F81951" w:rsidRDefault="00F81951">
      <w:pPr>
        <w:tabs>
          <w:tab w:val="center" w:pos="6840"/>
          <w:tab w:val="right" w:pos="14040"/>
        </w:tabs>
      </w:pPr>
    </w:p>
    <w:p w:rsidR="00F81951" w:rsidRDefault="00F81951">
      <w:pPr>
        <w:tabs>
          <w:tab w:val="center" w:pos="6840"/>
          <w:tab w:val="right" w:pos="14040"/>
        </w:tabs>
      </w:pPr>
    </w:p>
    <w:p w:rsidR="00F81951" w:rsidRDefault="00F81951">
      <w:pPr>
        <w:tabs>
          <w:tab w:val="center" w:pos="6840"/>
          <w:tab w:val="right" w:pos="14040"/>
        </w:tabs>
      </w:pPr>
    </w:p>
    <w:tbl>
      <w:tblPr>
        <w:tblStyle w:val="a0"/>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5"/>
        <w:gridCol w:w="5565"/>
        <w:gridCol w:w="180"/>
        <w:gridCol w:w="1395"/>
      </w:tblGrid>
      <w:tr w:rsidR="00F81951">
        <w:tc>
          <w:tcPr>
            <w:tcW w:w="7425" w:type="dxa"/>
            <w:shd w:val="clear" w:color="auto" w:fill="FFFFFF"/>
          </w:tcPr>
          <w:p w:rsidR="00F81951" w:rsidRDefault="00905446">
            <w:pPr>
              <w:rPr>
                <w:b/>
              </w:rPr>
            </w:pPr>
            <w:r>
              <w:rPr>
                <w:b/>
              </w:rPr>
              <w:t xml:space="preserve">Post Title: </w:t>
            </w:r>
            <w:r>
              <w:t xml:space="preserve">   </w:t>
            </w:r>
            <w:r>
              <w:rPr>
                <w:b/>
              </w:rPr>
              <w:t>Contracts and Commissioning Officer</w:t>
            </w:r>
          </w:p>
        </w:tc>
        <w:tc>
          <w:tcPr>
            <w:tcW w:w="5565" w:type="dxa"/>
            <w:shd w:val="clear" w:color="auto" w:fill="FFFFFF"/>
          </w:tcPr>
          <w:p w:rsidR="00F81951" w:rsidRDefault="00905446">
            <w:r>
              <w:rPr>
                <w:b/>
              </w:rPr>
              <w:t>Director/Service/Sector: Wellbeing and Community Health</w:t>
            </w:r>
          </w:p>
        </w:tc>
        <w:tc>
          <w:tcPr>
            <w:tcW w:w="1575" w:type="dxa"/>
            <w:gridSpan w:val="2"/>
            <w:shd w:val="clear" w:color="auto" w:fill="FFFFFF"/>
          </w:tcPr>
          <w:p w:rsidR="00F81951" w:rsidRDefault="00905446">
            <w:r>
              <w:t xml:space="preserve">Ref: </w:t>
            </w:r>
          </w:p>
        </w:tc>
      </w:tr>
      <w:tr w:rsidR="00F81951">
        <w:tc>
          <w:tcPr>
            <w:tcW w:w="7425" w:type="dxa"/>
            <w:shd w:val="clear" w:color="auto" w:fill="FFFFFF"/>
          </w:tcPr>
          <w:p w:rsidR="00F81951" w:rsidRDefault="00905446">
            <w:pPr>
              <w:rPr>
                <w:b/>
              </w:rPr>
            </w:pPr>
            <w:r>
              <w:rPr>
                <w:b/>
              </w:rPr>
              <w:t>Essential</w:t>
            </w:r>
          </w:p>
        </w:tc>
        <w:tc>
          <w:tcPr>
            <w:tcW w:w="5565" w:type="dxa"/>
            <w:shd w:val="clear" w:color="auto" w:fill="FFFFFF"/>
          </w:tcPr>
          <w:p w:rsidR="00F81951" w:rsidRDefault="00905446">
            <w:pPr>
              <w:rPr>
                <w:b/>
              </w:rPr>
            </w:pPr>
            <w:r>
              <w:rPr>
                <w:b/>
              </w:rPr>
              <w:t>Desirable</w:t>
            </w:r>
          </w:p>
        </w:tc>
        <w:tc>
          <w:tcPr>
            <w:tcW w:w="1575" w:type="dxa"/>
            <w:gridSpan w:val="2"/>
            <w:shd w:val="clear" w:color="auto" w:fill="FFFFFF"/>
          </w:tcPr>
          <w:p w:rsidR="00F81951" w:rsidRDefault="00905446">
            <w:pPr>
              <w:rPr>
                <w:b/>
              </w:rPr>
            </w:pPr>
            <w:r>
              <w:rPr>
                <w:b/>
              </w:rPr>
              <w:t>Assess by</w:t>
            </w:r>
          </w:p>
        </w:tc>
      </w:tr>
      <w:tr w:rsidR="00F81951">
        <w:tc>
          <w:tcPr>
            <w:tcW w:w="14565" w:type="dxa"/>
            <w:gridSpan w:val="4"/>
            <w:shd w:val="clear" w:color="auto" w:fill="FFFFFF"/>
          </w:tcPr>
          <w:p w:rsidR="00F81951" w:rsidRDefault="00905446">
            <w:pPr>
              <w:rPr>
                <w:b/>
                <w:sz w:val="24"/>
                <w:szCs w:val="24"/>
              </w:rPr>
            </w:pPr>
            <w:r>
              <w:rPr>
                <w:b/>
              </w:rPr>
              <w:t xml:space="preserve">Knowledge and </w:t>
            </w:r>
            <w:r>
              <w:rPr>
                <w:b/>
              </w:rPr>
              <w:t>Qualifications</w:t>
            </w:r>
          </w:p>
        </w:tc>
      </w:tr>
      <w:tr w:rsidR="00F81951">
        <w:tc>
          <w:tcPr>
            <w:tcW w:w="7425" w:type="dxa"/>
            <w:shd w:val="clear" w:color="auto" w:fill="FFFFFF"/>
          </w:tcPr>
          <w:p w:rsidR="00F81951" w:rsidRDefault="00905446">
            <w:pPr>
              <w:numPr>
                <w:ilvl w:val="0"/>
                <w:numId w:val="4"/>
              </w:numPr>
            </w:pPr>
            <w:r>
              <w:lastRenderedPageBreak/>
              <w:t>General education to degree level or qualification to degree level or several years relevant experience</w:t>
            </w:r>
          </w:p>
          <w:p w:rsidR="00F81951" w:rsidRDefault="00905446">
            <w:pPr>
              <w:numPr>
                <w:ilvl w:val="0"/>
                <w:numId w:val="4"/>
              </w:numPr>
            </w:pPr>
            <w:r>
              <w:t>Additional qualifications or evidence of continuing professional development or equivalent significant experience in Contr</w:t>
            </w:r>
            <w:r>
              <w:t xml:space="preserve">acts and commissioning. </w:t>
            </w:r>
          </w:p>
          <w:p w:rsidR="00F81951" w:rsidRDefault="00905446">
            <w:pPr>
              <w:numPr>
                <w:ilvl w:val="0"/>
                <w:numId w:val="4"/>
              </w:numPr>
              <w:spacing w:line="288" w:lineRule="auto"/>
            </w:pPr>
            <w:r>
              <w:t>An understanding of the diverse functions of a large, complex public sector organisation and its cross cutting issues and challenges.</w:t>
            </w:r>
          </w:p>
          <w:p w:rsidR="00F81951" w:rsidRDefault="00905446">
            <w:pPr>
              <w:numPr>
                <w:ilvl w:val="0"/>
                <w:numId w:val="4"/>
              </w:numPr>
              <w:spacing w:line="288" w:lineRule="auto"/>
            </w:pPr>
            <w:r>
              <w:t>Knowledge of the CQC regulatory frameworks and standards.</w:t>
            </w:r>
          </w:p>
          <w:p w:rsidR="00F81951" w:rsidRDefault="00905446">
            <w:pPr>
              <w:numPr>
                <w:ilvl w:val="0"/>
                <w:numId w:val="4"/>
              </w:numPr>
              <w:spacing w:line="288" w:lineRule="auto"/>
            </w:pPr>
            <w:r>
              <w:t>Knowledge of current relevant laws, regulations, policies, procedures, trends and developments relevant to the role. This should be both at a National Policy and organisational level.</w:t>
            </w:r>
          </w:p>
          <w:p w:rsidR="00F81951" w:rsidRDefault="00905446">
            <w:pPr>
              <w:numPr>
                <w:ilvl w:val="0"/>
                <w:numId w:val="4"/>
              </w:numPr>
            </w:pPr>
            <w:r>
              <w:t>Commercially aware and able to understand the relationship between costs</w:t>
            </w:r>
            <w:r>
              <w:t>, quality, customer care and corporate performance assessments.</w:t>
            </w:r>
          </w:p>
          <w:p w:rsidR="00F81951" w:rsidRDefault="00F81951">
            <w:pPr>
              <w:ind w:left="720"/>
            </w:pPr>
          </w:p>
        </w:tc>
        <w:tc>
          <w:tcPr>
            <w:tcW w:w="5745" w:type="dxa"/>
            <w:gridSpan w:val="2"/>
            <w:shd w:val="clear" w:color="auto" w:fill="FFFFFF"/>
          </w:tcPr>
          <w:p w:rsidR="00F81951" w:rsidRDefault="00905446">
            <w:pPr>
              <w:numPr>
                <w:ilvl w:val="0"/>
                <w:numId w:val="4"/>
              </w:numPr>
            </w:pPr>
            <w:r>
              <w:t>Recognised professional qualification.</w:t>
            </w:r>
          </w:p>
          <w:p w:rsidR="00F81951" w:rsidRDefault="00F81951">
            <w:pPr>
              <w:ind w:left="720"/>
            </w:pPr>
          </w:p>
          <w:p w:rsidR="00F81951" w:rsidRDefault="00F81951"/>
        </w:tc>
        <w:tc>
          <w:tcPr>
            <w:tcW w:w="1395" w:type="dxa"/>
            <w:shd w:val="clear" w:color="auto" w:fill="FFFFFF"/>
          </w:tcPr>
          <w:p w:rsidR="00F81951" w:rsidRDefault="00F81951"/>
        </w:tc>
      </w:tr>
      <w:tr w:rsidR="00F81951">
        <w:tc>
          <w:tcPr>
            <w:tcW w:w="14565" w:type="dxa"/>
            <w:gridSpan w:val="4"/>
            <w:shd w:val="clear" w:color="auto" w:fill="FFFFFF"/>
          </w:tcPr>
          <w:p w:rsidR="00F81951" w:rsidRDefault="00905446">
            <w:pPr>
              <w:rPr>
                <w:b/>
              </w:rPr>
            </w:pPr>
            <w:r>
              <w:rPr>
                <w:b/>
              </w:rPr>
              <w:t>Experience</w:t>
            </w:r>
          </w:p>
        </w:tc>
      </w:tr>
      <w:tr w:rsidR="00F81951">
        <w:tc>
          <w:tcPr>
            <w:tcW w:w="7425" w:type="dxa"/>
            <w:shd w:val="clear" w:color="auto" w:fill="FFFFFF"/>
          </w:tcPr>
          <w:p w:rsidR="00F81951" w:rsidRDefault="00905446">
            <w:pPr>
              <w:widowControl/>
              <w:numPr>
                <w:ilvl w:val="0"/>
                <w:numId w:val="5"/>
              </w:numPr>
            </w:pPr>
            <w:r>
              <w:t>Recent and significant experience in social care commissioning.</w:t>
            </w:r>
          </w:p>
          <w:p w:rsidR="00F81951" w:rsidRDefault="00905446">
            <w:pPr>
              <w:widowControl/>
              <w:numPr>
                <w:ilvl w:val="0"/>
                <w:numId w:val="5"/>
              </w:numPr>
            </w:pPr>
            <w:r>
              <w:t>Significant experience of working across social care and health sectors to support delivery of services.</w:t>
            </w:r>
          </w:p>
          <w:p w:rsidR="00F81951" w:rsidRDefault="00905446">
            <w:pPr>
              <w:widowControl/>
              <w:numPr>
                <w:ilvl w:val="0"/>
                <w:numId w:val="5"/>
              </w:numPr>
            </w:pPr>
            <w:r>
              <w:t>Significant experience of joint commissioning to deliver improved outcomes.</w:t>
            </w:r>
          </w:p>
          <w:p w:rsidR="00F81951" w:rsidRDefault="00905446">
            <w:pPr>
              <w:widowControl/>
              <w:numPr>
                <w:ilvl w:val="0"/>
                <w:numId w:val="5"/>
              </w:numPr>
            </w:pPr>
            <w:r>
              <w:t>A successful track record of engaging effectively with others at a senior l</w:t>
            </w:r>
            <w:r>
              <w:t>evel and building productive relationships with a range of stakeholders.</w:t>
            </w:r>
          </w:p>
          <w:p w:rsidR="00F81951" w:rsidRDefault="00905446">
            <w:pPr>
              <w:widowControl/>
              <w:numPr>
                <w:ilvl w:val="0"/>
                <w:numId w:val="5"/>
              </w:numPr>
            </w:pPr>
            <w:r>
              <w:t>A demonstrable track record of delivering outcomes that require a collaborative approach both within the organisation and with external partners.</w:t>
            </w:r>
          </w:p>
          <w:p w:rsidR="00F81951" w:rsidRDefault="00905446">
            <w:pPr>
              <w:widowControl/>
              <w:numPr>
                <w:ilvl w:val="0"/>
                <w:numId w:val="5"/>
              </w:numPr>
            </w:pPr>
            <w:r>
              <w:t xml:space="preserve">Recent and significant experience of </w:t>
            </w:r>
            <w:r>
              <w:t>managing, monitoring or influencing budgets.</w:t>
            </w:r>
          </w:p>
          <w:p w:rsidR="00F81951" w:rsidRDefault="00905446">
            <w:pPr>
              <w:widowControl/>
              <w:numPr>
                <w:ilvl w:val="0"/>
                <w:numId w:val="5"/>
              </w:numPr>
            </w:pPr>
            <w:r>
              <w:t>Significant experience with supplier and contract management.</w:t>
            </w:r>
          </w:p>
          <w:p w:rsidR="00F81951" w:rsidRDefault="00905446">
            <w:pPr>
              <w:widowControl/>
              <w:numPr>
                <w:ilvl w:val="0"/>
                <w:numId w:val="5"/>
              </w:numPr>
            </w:pPr>
            <w:r>
              <w:t>Significant experience of strategic working and operational management.</w:t>
            </w:r>
          </w:p>
        </w:tc>
        <w:tc>
          <w:tcPr>
            <w:tcW w:w="5745" w:type="dxa"/>
            <w:gridSpan w:val="2"/>
            <w:shd w:val="clear" w:color="auto" w:fill="FFFFFF"/>
          </w:tcPr>
          <w:p w:rsidR="00F81951" w:rsidRDefault="00905446">
            <w:pPr>
              <w:numPr>
                <w:ilvl w:val="0"/>
                <w:numId w:val="3"/>
              </w:numPr>
              <w:contextualSpacing/>
            </w:pPr>
            <w:r>
              <w:t>Knowledge of local government corporate management systems.</w:t>
            </w:r>
          </w:p>
          <w:p w:rsidR="00F81951" w:rsidRDefault="00F81951">
            <w:pPr>
              <w:rPr>
                <w:b/>
                <w:color w:val="FF0000"/>
              </w:rPr>
            </w:pPr>
          </w:p>
        </w:tc>
        <w:tc>
          <w:tcPr>
            <w:tcW w:w="1395" w:type="dxa"/>
            <w:shd w:val="clear" w:color="auto" w:fill="FFFFFF"/>
          </w:tcPr>
          <w:p w:rsidR="00F81951" w:rsidRDefault="00F81951"/>
        </w:tc>
      </w:tr>
      <w:tr w:rsidR="00F81951">
        <w:tc>
          <w:tcPr>
            <w:tcW w:w="14565" w:type="dxa"/>
            <w:gridSpan w:val="4"/>
            <w:shd w:val="clear" w:color="auto" w:fill="FFFFFF"/>
          </w:tcPr>
          <w:p w:rsidR="00F81951" w:rsidRDefault="00905446">
            <w:pPr>
              <w:rPr>
                <w:b/>
              </w:rPr>
            </w:pPr>
            <w:r>
              <w:rPr>
                <w:b/>
              </w:rPr>
              <w:t>Skills and competencies</w:t>
            </w:r>
          </w:p>
        </w:tc>
      </w:tr>
      <w:tr w:rsidR="00F81951">
        <w:tc>
          <w:tcPr>
            <w:tcW w:w="7425" w:type="dxa"/>
            <w:shd w:val="clear" w:color="auto" w:fill="FFFFFF"/>
          </w:tcPr>
          <w:p w:rsidR="00F81951" w:rsidRDefault="00905446">
            <w:pPr>
              <w:numPr>
                <w:ilvl w:val="0"/>
                <w:numId w:val="6"/>
              </w:numPr>
            </w:pPr>
            <w:r>
              <w:t>Substantial knowledge and understanding of Local Government and the range of services involved in supporting adults.</w:t>
            </w:r>
          </w:p>
          <w:p w:rsidR="00F81951" w:rsidRDefault="00905446">
            <w:pPr>
              <w:numPr>
                <w:ilvl w:val="0"/>
                <w:numId w:val="6"/>
              </w:numPr>
            </w:pPr>
            <w:r>
              <w:t>A sound understanding of financial and budget monitoring systems and experience of monitoring budgets.</w:t>
            </w:r>
          </w:p>
          <w:p w:rsidR="00F81951" w:rsidRDefault="00905446">
            <w:pPr>
              <w:numPr>
                <w:ilvl w:val="0"/>
                <w:numId w:val="6"/>
              </w:numPr>
            </w:pPr>
            <w:r>
              <w:t>Financial a</w:t>
            </w:r>
            <w:r>
              <w:t>nd commercial awareness and an excellent aptitude for developing innovative solutions to complex problems.</w:t>
            </w:r>
          </w:p>
          <w:p w:rsidR="00F81951" w:rsidRDefault="00905446">
            <w:pPr>
              <w:numPr>
                <w:ilvl w:val="0"/>
                <w:numId w:val="6"/>
              </w:numPr>
            </w:pPr>
            <w:r>
              <w:t>Able to build effective relationships, influencing and negotiating in a tactful and diplomatic manner with people at all levels.</w:t>
            </w:r>
          </w:p>
          <w:p w:rsidR="00F81951" w:rsidRDefault="00905446">
            <w:pPr>
              <w:numPr>
                <w:ilvl w:val="0"/>
                <w:numId w:val="6"/>
              </w:numPr>
            </w:pPr>
            <w:r>
              <w:t xml:space="preserve">Able to analyse and </w:t>
            </w:r>
            <w:r>
              <w:t>interpret numeric data, trends in service usage, performance and information in order to plan and prioritise the commissioning function.</w:t>
            </w:r>
          </w:p>
          <w:p w:rsidR="00F81951" w:rsidRDefault="00905446">
            <w:pPr>
              <w:numPr>
                <w:ilvl w:val="0"/>
                <w:numId w:val="6"/>
              </w:numPr>
            </w:pPr>
            <w:r>
              <w:lastRenderedPageBreak/>
              <w:t>Ability to apply robust review procedures and decommission services that do not meet identified need.</w:t>
            </w:r>
          </w:p>
          <w:p w:rsidR="00F81951" w:rsidRDefault="00905446">
            <w:pPr>
              <w:numPr>
                <w:ilvl w:val="0"/>
                <w:numId w:val="6"/>
              </w:numPr>
            </w:pPr>
            <w:r>
              <w:t>Ability to constr</w:t>
            </w:r>
            <w:r>
              <w:t>uctively challenge established practice and engage with people effectively in redesigning services that focus on quality assurance and outcomes, thereby demonstrating change management skills.</w:t>
            </w:r>
          </w:p>
          <w:p w:rsidR="00F81951" w:rsidRDefault="00905446">
            <w:pPr>
              <w:numPr>
                <w:ilvl w:val="0"/>
                <w:numId w:val="6"/>
              </w:numPr>
            </w:pPr>
            <w:r>
              <w:t>Ability to demonstrate personal effectiveness and judgement including an awareness of risk.</w:t>
            </w:r>
          </w:p>
          <w:p w:rsidR="00F81951" w:rsidRDefault="00905446">
            <w:pPr>
              <w:numPr>
                <w:ilvl w:val="0"/>
                <w:numId w:val="6"/>
              </w:numPr>
            </w:pPr>
            <w:r>
              <w:t xml:space="preserve">Ability to demonstrate a high level of initiative whilst operating independently and with minimal supervision. This will include the confidence and ability to make </w:t>
            </w:r>
            <w:r>
              <w:t>reasoned judgements and decisions that stand up to scrutiny, consulting with managers only when appropriate to do so.</w:t>
            </w:r>
          </w:p>
          <w:p w:rsidR="00F81951" w:rsidRDefault="00905446">
            <w:pPr>
              <w:numPr>
                <w:ilvl w:val="0"/>
                <w:numId w:val="6"/>
              </w:numPr>
            </w:pPr>
            <w:r>
              <w:t>Ability to manage own time and workload and schedule activities to meet tight deadlines.</w:t>
            </w:r>
          </w:p>
          <w:p w:rsidR="00F81951" w:rsidRDefault="00905446">
            <w:pPr>
              <w:widowControl/>
              <w:numPr>
                <w:ilvl w:val="0"/>
                <w:numId w:val="6"/>
              </w:numPr>
            </w:pPr>
            <w:r>
              <w:t xml:space="preserve">Substantial evidence and successful track record </w:t>
            </w:r>
            <w:r>
              <w:t>in effective forward planning and performance management.</w:t>
            </w:r>
          </w:p>
          <w:p w:rsidR="00F81951" w:rsidRDefault="00905446">
            <w:pPr>
              <w:numPr>
                <w:ilvl w:val="0"/>
                <w:numId w:val="6"/>
              </w:numPr>
            </w:pPr>
            <w:r>
              <w:t>Strong IT skills.</w:t>
            </w:r>
          </w:p>
          <w:p w:rsidR="00F81951" w:rsidRDefault="00905446">
            <w:pPr>
              <w:numPr>
                <w:ilvl w:val="0"/>
                <w:numId w:val="6"/>
              </w:numPr>
            </w:pPr>
            <w:r>
              <w:t>Demonstrate ability to propose, develop and implement effective plans in pursuit of agreed goals and to make clear, informed, appropriate and timely decisions and recommendations.</w:t>
            </w:r>
          </w:p>
          <w:p w:rsidR="00F81951" w:rsidRDefault="00905446">
            <w:pPr>
              <w:numPr>
                <w:ilvl w:val="0"/>
                <w:numId w:val="6"/>
              </w:numPr>
            </w:pPr>
            <w:r>
              <w:t>Ability to communicate effectively and command the trust, respect and confidence of colleagues working flexibly and creatively.</w:t>
            </w:r>
          </w:p>
          <w:p w:rsidR="00F81951" w:rsidRDefault="00905446">
            <w:pPr>
              <w:numPr>
                <w:ilvl w:val="0"/>
                <w:numId w:val="6"/>
              </w:numPr>
            </w:pPr>
            <w:r>
              <w:t xml:space="preserve">A proactive, committed and enthusiastic approach to work. </w:t>
            </w:r>
          </w:p>
          <w:p w:rsidR="00F81951" w:rsidRDefault="00905446">
            <w:pPr>
              <w:numPr>
                <w:ilvl w:val="0"/>
                <w:numId w:val="6"/>
              </w:numPr>
            </w:pPr>
            <w:r>
              <w:t>Ability to operate effectively as a member of a team.</w:t>
            </w:r>
          </w:p>
          <w:p w:rsidR="00F81951" w:rsidRDefault="00905446">
            <w:pPr>
              <w:numPr>
                <w:ilvl w:val="0"/>
                <w:numId w:val="6"/>
              </w:numPr>
            </w:pPr>
            <w:r>
              <w:t>Knowledge of sa</w:t>
            </w:r>
            <w:r>
              <w:t>feguarding procedures</w:t>
            </w:r>
          </w:p>
          <w:p w:rsidR="00F81951" w:rsidRDefault="00905446">
            <w:pPr>
              <w:numPr>
                <w:ilvl w:val="0"/>
                <w:numId w:val="6"/>
              </w:numPr>
            </w:pPr>
            <w:r>
              <w:t>Organisational skills.</w:t>
            </w:r>
          </w:p>
          <w:p w:rsidR="00F81951" w:rsidRDefault="00F81951"/>
          <w:p w:rsidR="00F81951" w:rsidRDefault="00905446">
            <w:pPr>
              <w:numPr>
                <w:ilvl w:val="0"/>
                <w:numId w:val="6"/>
              </w:numPr>
            </w:pPr>
            <w:r>
              <w:t>Understanding of the need for confidentiality in dealing with sensitive issues</w:t>
            </w:r>
          </w:p>
          <w:p w:rsidR="00F81951" w:rsidRDefault="00F81951"/>
          <w:p w:rsidR="00F81951" w:rsidRDefault="00F81951">
            <w:pPr>
              <w:spacing w:line="288" w:lineRule="auto"/>
            </w:pPr>
          </w:p>
        </w:tc>
        <w:tc>
          <w:tcPr>
            <w:tcW w:w="5745" w:type="dxa"/>
            <w:gridSpan w:val="2"/>
            <w:shd w:val="clear" w:color="auto" w:fill="FFFFFF"/>
          </w:tcPr>
          <w:p w:rsidR="00F81951" w:rsidRDefault="00905446">
            <w:pPr>
              <w:numPr>
                <w:ilvl w:val="0"/>
                <w:numId w:val="6"/>
              </w:numPr>
            </w:pPr>
            <w:r>
              <w:lastRenderedPageBreak/>
              <w:t>Knowledge and understanding of the wider services delivered by the Wellbeing and Health Service.</w:t>
            </w:r>
          </w:p>
          <w:p w:rsidR="00F81951" w:rsidRDefault="00905446">
            <w:pPr>
              <w:numPr>
                <w:ilvl w:val="0"/>
                <w:numId w:val="6"/>
              </w:numPr>
              <w:rPr>
                <w:color w:val="FF0000"/>
              </w:rPr>
            </w:pPr>
            <w:r>
              <w:t>Understanding of contracting principles</w:t>
            </w:r>
            <w:r>
              <w:rPr>
                <w:color w:val="FF0000"/>
              </w:rPr>
              <w:t xml:space="preserve"> </w:t>
            </w:r>
          </w:p>
        </w:tc>
        <w:tc>
          <w:tcPr>
            <w:tcW w:w="1395" w:type="dxa"/>
            <w:shd w:val="clear" w:color="auto" w:fill="FFFFFF"/>
          </w:tcPr>
          <w:p w:rsidR="00F81951" w:rsidRDefault="00F81951"/>
        </w:tc>
      </w:tr>
      <w:tr w:rsidR="00F81951">
        <w:tc>
          <w:tcPr>
            <w:tcW w:w="14565" w:type="dxa"/>
            <w:gridSpan w:val="4"/>
            <w:shd w:val="clear" w:color="auto" w:fill="FFFFFF"/>
          </w:tcPr>
          <w:p w:rsidR="00F81951" w:rsidRDefault="00905446">
            <w:pPr>
              <w:rPr>
                <w:b/>
              </w:rPr>
            </w:pPr>
            <w:r>
              <w:rPr>
                <w:b/>
              </w:rPr>
              <w:lastRenderedPageBreak/>
              <w:t>Physical, mental and emotional demands</w:t>
            </w:r>
          </w:p>
        </w:tc>
      </w:tr>
      <w:tr w:rsidR="00F81951">
        <w:tc>
          <w:tcPr>
            <w:tcW w:w="7425" w:type="dxa"/>
            <w:shd w:val="clear" w:color="auto" w:fill="FFFFFF"/>
          </w:tcPr>
          <w:p w:rsidR="00F81951" w:rsidRDefault="00905446">
            <w:pPr>
              <w:widowControl/>
              <w:numPr>
                <w:ilvl w:val="0"/>
                <w:numId w:val="1"/>
              </w:numPr>
            </w:pPr>
            <w:r>
              <w:t>To be able to meet the physical requirements of the post and to be able to work under considerable pressure caused by significant workloads and rigid deadlines.</w:t>
            </w:r>
          </w:p>
          <w:p w:rsidR="00F81951" w:rsidRDefault="00905446">
            <w:pPr>
              <w:widowControl/>
              <w:numPr>
                <w:ilvl w:val="0"/>
                <w:numId w:val="1"/>
              </w:numPr>
            </w:pPr>
            <w:r>
              <w:t>Ability to maintain enhanced concentration for frequent lengthy periods of time.</w:t>
            </w:r>
          </w:p>
          <w:p w:rsidR="00F81951" w:rsidRDefault="00905446">
            <w:pPr>
              <w:widowControl/>
              <w:numPr>
                <w:ilvl w:val="0"/>
                <w:numId w:val="1"/>
              </w:numPr>
            </w:pPr>
            <w:r>
              <w:t>High personal standards of integrity and probity.</w:t>
            </w:r>
          </w:p>
          <w:p w:rsidR="00F81951" w:rsidRDefault="00905446">
            <w:pPr>
              <w:widowControl/>
              <w:numPr>
                <w:ilvl w:val="0"/>
                <w:numId w:val="1"/>
              </w:numPr>
            </w:pPr>
            <w:r>
              <w:t>Ability to demonstrate resilience and emotional intelligence.</w:t>
            </w:r>
          </w:p>
          <w:p w:rsidR="00F81951" w:rsidRDefault="00905446">
            <w:pPr>
              <w:widowControl/>
              <w:numPr>
                <w:ilvl w:val="0"/>
                <w:numId w:val="1"/>
              </w:numPr>
            </w:pPr>
            <w:r>
              <w:t>Some exposure to working outside normal office hours as necessa</w:t>
            </w:r>
            <w:r>
              <w:t>ry.</w:t>
            </w:r>
          </w:p>
          <w:p w:rsidR="00F81951" w:rsidRDefault="00F81951">
            <w:pPr>
              <w:rPr>
                <w:b/>
                <w:color w:val="FF0000"/>
              </w:rPr>
            </w:pPr>
          </w:p>
        </w:tc>
        <w:tc>
          <w:tcPr>
            <w:tcW w:w="5745" w:type="dxa"/>
            <w:gridSpan w:val="2"/>
            <w:shd w:val="clear" w:color="auto" w:fill="FFFFFF"/>
          </w:tcPr>
          <w:p w:rsidR="00F81951" w:rsidRDefault="00F81951">
            <w:pPr>
              <w:rPr>
                <w:b/>
                <w:color w:val="FF0000"/>
              </w:rPr>
            </w:pPr>
          </w:p>
        </w:tc>
        <w:tc>
          <w:tcPr>
            <w:tcW w:w="1395" w:type="dxa"/>
            <w:shd w:val="clear" w:color="auto" w:fill="FFFFFF"/>
          </w:tcPr>
          <w:p w:rsidR="00F81951" w:rsidRDefault="00F81951"/>
        </w:tc>
      </w:tr>
      <w:tr w:rsidR="00F81951">
        <w:tc>
          <w:tcPr>
            <w:tcW w:w="7425" w:type="dxa"/>
            <w:shd w:val="clear" w:color="auto" w:fill="FFFFFF"/>
          </w:tcPr>
          <w:p w:rsidR="00F81951" w:rsidRDefault="00905446">
            <w:pPr>
              <w:rPr>
                <w:b/>
              </w:rPr>
            </w:pPr>
            <w:r>
              <w:rPr>
                <w:b/>
              </w:rPr>
              <w:t>Other</w:t>
            </w:r>
          </w:p>
        </w:tc>
        <w:tc>
          <w:tcPr>
            <w:tcW w:w="5745" w:type="dxa"/>
            <w:gridSpan w:val="2"/>
            <w:shd w:val="clear" w:color="auto" w:fill="FFFFFF"/>
          </w:tcPr>
          <w:p w:rsidR="00F81951" w:rsidRDefault="00F81951"/>
        </w:tc>
        <w:tc>
          <w:tcPr>
            <w:tcW w:w="1395" w:type="dxa"/>
            <w:shd w:val="clear" w:color="auto" w:fill="FFFFFF"/>
          </w:tcPr>
          <w:p w:rsidR="00F81951" w:rsidRDefault="00F81951"/>
        </w:tc>
      </w:tr>
      <w:tr w:rsidR="00F81951">
        <w:tc>
          <w:tcPr>
            <w:tcW w:w="7425" w:type="dxa"/>
            <w:shd w:val="clear" w:color="auto" w:fill="FFFFFF"/>
          </w:tcPr>
          <w:p w:rsidR="00F81951" w:rsidRDefault="00905446">
            <w:pPr>
              <w:numPr>
                <w:ilvl w:val="0"/>
                <w:numId w:val="2"/>
              </w:numPr>
            </w:pPr>
            <w:r>
              <w:lastRenderedPageBreak/>
              <w:t xml:space="preserve">Ability to meet the transport requirements of the job. </w:t>
            </w:r>
          </w:p>
        </w:tc>
        <w:tc>
          <w:tcPr>
            <w:tcW w:w="5745" w:type="dxa"/>
            <w:gridSpan w:val="2"/>
            <w:shd w:val="clear" w:color="auto" w:fill="FFFFFF"/>
          </w:tcPr>
          <w:p w:rsidR="00F81951" w:rsidRDefault="00F81951"/>
        </w:tc>
        <w:tc>
          <w:tcPr>
            <w:tcW w:w="1395" w:type="dxa"/>
            <w:shd w:val="clear" w:color="auto" w:fill="FFFFFF"/>
          </w:tcPr>
          <w:p w:rsidR="00F81951" w:rsidRDefault="00F81951"/>
        </w:tc>
      </w:tr>
    </w:tbl>
    <w:p w:rsidR="00F81951" w:rsidRDefault="00F81951">
      <w:pPr>
        <w:tabs>
          <w:tab w:val="center" w:pos="6840"/>
          <w:tab w:val="right" w:pos="14040"/>
        </w:tabs>
      </w:pPr>
    </w:p>
    <w:p w:rsidR="00F81951" w:rsidRDefault="00F81951">
      <w:pPr>
        <w:tabs>
          <w:tab w:val="center" w:pos="6840"/>
          <w:tab w:val="right" w:pos="14040"/>
        </w:tabs>
      </w:pPr>
    </w:p>
    <w:p w:rsidR="00F81951" w:rsidRDefault="00905446">
      <w:r>
        <w:t>Key to assessment methods; (a) application form, (</w:t>
      </w:r>
      <w:proofErr w:type="spellStart"/>
      <w:r>
        <w:t>i</w:t>
      </w:r>
      <w:proofErr w:type="spellEnd"/>
      <w:r>
        <w:t>) interview, (r) references, (t) ability tests (q) personality questionnaire (g) assessed group work, (p) presentation, (o) others e.g. case studies/visits</w:t>
      </w:r>
    </w:p>
    <w:p w:rsidR="00F81951" w:rsidRDefault="00F81951">
      <w:pPr>
        <w:tabs>
          <w:tab w:val="center" w:pos="6840"/>
          <w:tab w:val="right" w:pos="14040"/>
        </w:tabs>
      </w:pPr>
    </w:p>
    <w:p w:rsidR="00F81951" w:rsidRDefault="00F81951">
      <w:pPr>
        <w:tabs>
          <w:tab w:val="center" w:pos="6840"/>
          <w:tab w:val="right" w:pos="14040"/>
        </w:tabs>
      </w:pPr>
    </w:p>
    <w:p w:rsidR="00F81951" w:rsidRDefault="00F81951">
      <w:pPr>
        <w:tabs>
          <w:tab w:val="center" w:pos="6840"/>
          <w:tab w:val="right" w:pos="14040"/>
        </w:tabs>
      </w:pPr>
    </w:p>
    <w:p w:rsidR="00F81951" w:rsidRDefault="00F81951">
      <w:pPr>
        <w:tabs>
          <w:tab w:val="center" w:pos="6840"/>
          <w:tab w:val="right" w:pos="14040"/>
        </w:tabs>
      </w:pPr>
    </w:p>
    <w:p w:rsidR="00F81951" w:rsidRDefault="00F81951">
      <w:pPr>
        <w:tabs>
          <w:tab w:val="center" w:pos="6840"/>
          <w:tab w:val="right" w:pos="14040"/>
        </w:tabs>
      </w:pPr>
    </w:p>
    <w:sectPr w:rsidR="00F81951">
      <w:headerReference w:type="default" r:id="rId8"/>
      <w:pgSz w:w="16838" w:h="11906"/>
      <w:pgMar w:top="180" w:right="1440" w:bottom="719"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46" w:rsidRDefault="00905446">
      <w:r>
        <w:separator/>
      </w:r>
    </w:p>
  </w:endnote>
  <w:endnote w:type="continuationSeparator" w:id="0">
    <w:p w:rsidR="00905446" w:rsidRDefault="0090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46" w:rsidRDefault="00905446">
      <w:r>
        <w:separator/>
      </w:r>
    </w:p>
  </w:footnote>
  <w:footnote w:type="continuationSeparator" w:id="0">
    <w:p w:rsidR="00905446" w:rsidRDefault="0090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51" w:rsidRDefault="00905446">
    <w:pPr>
      <w:pBdr>
        <w:top w:val="nil"/>
        <w:left w:val="nil"/>
        <w:bottom w:val="nil"/>
        <w:right w:val="nil"/>
        <w:between w:val="nil"/>
      </w:pBdr>
      <w:tabs>
        <w:tab w:val="center" w:pos="4153"/>
        <w:tab w:val="right" w:pos="8306"/>
      </w:tabs>
      <w:spacing w:before="709"/>
      <w:rPr>
        <w:color w:val="000000"/>
        <w:sz w:val="24"/>
        <w:szCs w:val="24"/>
      </w:rPr>
    </w:pPr>
    <w:r>
      <w:rPr>
        <w:noProof/>
        <w:color w:val="000000"/>
        <w:sz w:val="24"/>
        <w:szCs w:val="24"/>
      </w:rPr>
      <w:drawing>
        <wp:inline distT="0" distB="0" distL="0" distR="0">
          <wp:extent cx="1233170" cy="244475"/>
          <wp:effectExtent l="0" t="0" r="0" b="0"/>
          <wp:docPr id="1" name="image2.png" descr="Description: logo_black"/>
          <wp:cNvGraphicFramePr/>
          <a:graphic xmlns:a="http://schemas.openxmlformats.org/drawingml/2006/main">
            <a:graphicData uri="http://schemas.openxmlformats.org/drawingml/2006/picture">
              <pic:pic xmlns:pic="http://schemas.openxmlformats.org/drawingml/2006/picture">
                <pic:nvPicPr>
                  <pic:cNvPr id="0" name="image2.png" descr="Description: logo_black"/>
                  <pic:cNvPicPr preferRelativeResize="0"/>
                </pic:nvPicPr>
                <pic:blipFill>
                  <a:blip r:embed="rId1"/>
                  <a:srcRect/>
                  <a:stretch>
                    <a:fillRect/>
                  </a:stretch>
                </pic:blipFill>
                <pic:spPr>
                  <a:xfrm>
                    <a:off x="0" y="0"/>
                    <a:ext cx="1233170" cy="244475"/>
                  </a:xfrm>
                  <a:prstGeom prst="rect">
                    <a:avLst/>
                  </a:prstGeom>
                  <a:ln/>
                </pic:spPr>
              </pic:pic>
            </a:graphicData>
          </a:graphic>
        </wp:inline>
      </w:drawing>
    </w:r>
  </w:p>
  <w:p w:rsidR="00F81951" w:rsidRDefault="00F81951">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38B"/>
    <w:multiLevelType w:val="multilevel"/>
    <w:tmpl w:val="2EA0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C91CBB"/>
    <w:multiLevelType w:val="multilevel"/>
    <w:tmpl w:val="F6DCD90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36614F1"/>
    <w:multiLevelType w:val="multilevel"/>
    <w:tmpl w:val="4056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33061D"/>
    <w:multiLevelType w:val="multilevel"/>
    <w:tmpl w:val="66202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1B96FFC"/>
    <w:multiLevelType w:val="multilevel"/>
    <w:tmpl w:val="D1CAF0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B0D5085"/>
    <w:multiLevelType w:val="multilevel"/>
    <w:tmpl w:val="81589F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1951"/>
    <w:rsid w:val="006F3641"/>
    <w:rsid w:val="00905446"/>
    <w:rsid w:val="00F8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F3641"/>
    <w:rPr>
      <w:rFonts w:ascii="Tahoma" w:hAnsi="Tahoma" w:cs="Tahoma"/>
      <w:sz w:val="16"/>
      <w:szCs w:val="16"/>
    </w:rPr>
  </w:style>
  <w:style w:type="character" w:customStyle="1" w:styleId="BalloonTextChar">
    <w:name w:val="Balloon Text Char"/>
    <w:basedOn w:val="DefaultParagraphFont"/>
    <w:link w:val="BalloonText"/>
    <w:uiPriority w:val="99"/>
    <w:semiHidden/>
    <w:rsid w:val="006F3641"/>
    <w:rPr>
      <w:rFonts w:ascii="Tahoma" w:hAnsi="Tahoma" w:cs="Tahoma"/>
      <w:sz w:val="16"/>
      <w:szCs w:val="16"/>
    </w:rPr>
  </w:style>
  <w:style w:type="paragraph" w:styleId="Header">
    <w:name w:val="header"/>
    <w:basedOn w:val="Normal"/>
    <w:link w:val="HeaderChar"/>
    <w:uiPriority w:val="99"/>
    <w:unhideWhenUsed/>
    <w:rsid w:val="006F3641"/>
    <w:pPr>
      <w:tabs>
        <w:tab w:val="center" w:pos="4513"/>
        <w:tab w:val="right" w:pos="9026"/>
      </w:tabs>
    </w:pPr>
  </w:style>
  <w:style w:type="character" w:customStyle="1" w:styleId="HeaderChar">
    <w:name w:val="Header Char"/>
    <w:basedOn w:val="DefaultParagraphFont"/>
    <w:link w:val="Header"/>
    <w:uiPriority w:val="99"/>
    <w:rsid w:val="006F3641"/>
  </w:style>
  <w:style w:type="paragraph" w:styleId="Footer">
    <w:name w:val="footer"/>
    <w:basedOn w:val="Normal"/>
    <w:link w:val="FooterChar"/>
    <w:uiPriority w:val="99"/>
    <w:unhideWhenUsed/>
    <w:rsid w:val="006F3641"/>
    <w:pPr>
      <w:tabs>
        <w:tab w:val="center" w:pos="4513"/>
        <w:tab w:val="right" w:pos="9026"/>
      </w:tabs>
    </w:pPr>
  </w:style>
  <w:style w:type="character" w:customStyle="1" w:styleId="FooterChar">
    <w:name w:val="Footer Char"/>
    <w:basedOn w:val="DefaultParagraphFont"/>
    <w:link w:val="Footer"/>
    <w:uiPriority w:val="99"/>
    <w:rsid w:val="006F3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F3641"/>
    <w:rPr>
      <w:rFonts w:ascii="Tahoma" w:hAnsi="Tahoma" w:cs="Tahoma"/>
      <w:sz w:val="16"/>
      <w:szCs w:val="16"/>
    </w:rPr>
  </w:style>
  <w:style w:type="character" w:customStyle="1" w:styleId="BalloonTextChar">
    <w:name w:val="Balloon Text Char"/>
    <w:basedOn w:val="DefaultParagraphFont"/>
    <w:link w:val="BalloonText"/>
    <w:uiPriority w:val="99"/>
    <w:semiHidden/>
    <w:rsid w:val="006F3641"/>
    <w:rPr>
      <w:rFonts w:ascii="Tahoma" w:hAnsi="Tahoma" w:cs="Tahoma"/>
      <w:sz w:val="16"/>
      <w:szCs w:val="16"/>
    </w:rPr>
  </w:style>
  <w:style w:type="paragraph" w:styleId="Header">
    <w:name w:val="header"/>
    <w:basedOn w:val="Normal"/>
    <w:link w:val="HeaderChar"/>
    <w:uiPriority w:val="99"/>
    <w:unhideWhenUsed/>
    <w:rsid w:val="006F3641"/>
    <w:pPr>
      <w:tabs>
        <w:tab w:val="center" w:pos="4513"/>
        <w:tab w:val="right" w:pos="9026"/>
      </w:tabs>
    </w:pPr>
  </w:style>
  <w:style w:type="character" w:customStyle="1" w:styleId="HeaderChar">
    <w:name w:val="Header Char"/>
    <w:basedOn w:val="DefaultParagraphFont"/>
    <w:link w:val="Header"/>
    <w:uiPriority w:val="99"/>
    <w:rsid w:val="006F3641"/>
  </w:style>
  <w:style w:type="paragraph" w:styleId="Footer">
    <w:name w:val="footer"/>
    <w:basedOn w:val="Normal"/>
    <w:link w:val="FooterChar"/>
    <w:uiPriority w:val="99"/>
    <w:unhideWhenUsed/>
    <w:rsid w:val="006F3641"/>
    <w:pPr>
      <w:tabs>
        <w:tab w:val="center" w:pos="4513"/>
        <w:tab w:val="right" w:pos="9026"/>
      </w:tabs>
    </w:pPr>
  </w:style>
  <w:style w:type="character" w:customStyle="1" w:styleId="FooterChar">
    <w:name w:val="Footer Char"/>
    <w:basedOn w:val="DefaultParagraphFont"/>
    <w:link w:val="Footer"/>
    <w:uiPriority w:val="99"/>
    <w:rsid w:val="006F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2018-08-24T14:15:00Z</dcterms:created>
  <dcterms:modified xsi:type="dcterms:W3CDTF">2018-08-24T14:15:00Z</dcterms:modified>
</cp:coreProperties>
</file>