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NORTHUMBERLAND COUNCIL</w:t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>PART A:  JOB DESCRIPTION</w:t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Care </w:t>
            </w:r>
            <w:r>
              <w:rPr>
                <w:sz w:val="22"/>
                <w:szCs w:val="22"/>
              </w:rPr>
              <w:t xml:space="preserve">Directorate 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Social Care 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>Adult Social Care</w:t>
            </w:r>
            <w:r w:rsidR="00CA6E7C">
              <w:rPr>
                <w:sz w:val="22"/>
                <w:szCs w:val="22"/>
              </w:rPr>
              <w:t>, Safeguarding</w:t>
            </w:r>
            <w:r>
              <w:rPr>
                <w:sz w:val="22"/>
                <w:szCs w:val="22"/>
              </w:rPr>
              <w:t xml:space="preserve"> and Commissioning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TO: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 w:rsidP="00CA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Executive Director </w:t>
            </w:r>
            <w:r>
              <w:rPr>
                <w:sz w:val="22"/>
                <w:szCs w:val="22"/>
              </w:rPr>
              <w:t xml:space="preserve"> </w:t>
            </w:r>
            <w:r w:rsidR="00CA6E7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Adult Care</w:t>
            </w:r>
            <w:r w:rsidR="00CA6E7C">
              <w:rPr>
                <w:sz w:val="22"/>
                <w:szCs w:val="22"/>
              </w:rPr>
              <w:t>)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RESPONSIBLE FOR: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Social Care and Commissioning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Service/ Functions:</w:t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aspects </w:t>
            </w:r>
            <w:r>
              <w:rPr>
                <w:sz w:val="22"/>
                <w:szCs w:val="22"/>
              </w:rPr>
              <w:t>of Strategic Commissioning and Adult Care (including Adult Social Care).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Employees:</w:t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250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Budget:</w:t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£</w:t>
            </w:r>
            <w:r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m+ (directly and ind</w:t>
            </w:r>
            <w:r>
              <w:rPr>
                <w:sz w:val="22"/>
                <w:szCs w:val="22"/>
              </w:rPr>
              <w:t>irectly)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Resources</w:t>
            </w:r>
          </w:p>
        </w:tc>
        <w:tc>
          <w:tcPr>
            <w:tcW w:w="6777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0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829EB">
        <w:trPr>
          <w:trHeight w:val="2340"/>
        </w:trPr>
        <w:tc>
          <w:tcPr>
            <w:tcW w:w="9540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PURPOSE: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provide professional and technical advice on all aspects of </w:t>
            </w:r>
            <w:r>
              <w:rPr>
                <w:sz w:val="22"/>
                <w:szCs w:val="22"/>
              </w:rPr>
              <w:t xml:space="preserve">Adult Social Care and Commissioning </w:t>
            </w:r>
            <w:r>
              <w:rPr>
                <w:sz w:val="22"/>
                <w:szCs w:val="22"/>
              </w:rPr>
              <w:t>related issues.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CA6E7C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provide </w:t>
            </w:r>
            <w:r w:rsidR="00CA6E7C">
              <w:rPr>
                <w:sz w:val="22"/>
                <w:szCs w:val="22"/>
              </w:rPr>
              <w:t xml:space="preserve">the county council with </w:t>
            </w:r>
            <w:r>
              <w:rPr>
                <w:sz w:val="22"/>
                <w:szCs w:val="22"/>
              </w:rPr>
              <w:t>effective leadership in relation to Adult Social Care</w:t>
            </w:r>
            <w:r w:rsidR="00CA6E7C">
              <w:rPr>
                <w:sz w:val="22"/>
                <w:szCs w:val="22"/>
              </w:rPr>
              <w:t>, Safeguarding</w:t>
            </w:r>
            <w:r>
              <w:rPr>
                <w:sz w:val="22"/>
                <w:szCs w:val="22"/>
              </w:rPr>
              <w:t xml:space="preserve"> and Strategic Commissioning</w:t>
            </w:r>
            <w:r w:rsidR="00CA6E7C">
              <w:rPr>
                <w:sz w:val="22"/>
                <w:szCs w:val="22"/>
              </w:rPr>
              <w:t xml:space="preserve">. </w:t>
            </w:r>
          </w:p>
          <w:p w:rsidR="00CA6E7C" w:rsidRDefault="00CA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CA6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work closely with colleagues employed by </w:t>
            </w:r>
            <w:proofErr w:type="spellStart"/>
            <w:r>
              <w:rPr>
                <w:sz w:val="22"/>
                <w:szCs w:val="22"/>
              </w:rPr>
              <w:t>Northumbria</w:t>
            </w:r>
            <w:proofErr w:type="spellEnd"/>
            <w:r>
              <w:rPr>
                <w:sz w:val="22"/>
                <w:szCs w:val="22"/>
              </w:rPr>
              <w:t xml:space="preserve"> Healthcare NHS Foundation Trust as part of the integrated partnership arrangement.</w:t>
            </w:r>
            <w:r>
              <w:rPr>
                <w:sz w:val="22"/>
                <w:szCs w:val="22"/>
              </w:rPr>
              <w:t xml:space="preserve"> </w:t>
            </w:r>
            <w:r w:rsidR="006A414E">
              <w:rPr>
                <w:sz w:val="22"/>
                <w:szCs w:val="22"/>
              </w:rPr>
              <w:t xml:space="preserve">To provide effective leadership, co-ordination and management </w:t>
            </w:r>
            <w:r w:rsidR="006A414E">
              <w:rPr>
                <w:sz w:val="22"/>
                <w:szCs w:val="22"/>
              </w:rPr>
              <w:t>of</w:t>
            </w:r>
            <w:r w:rsidR="006A414E">
              <w:rPr>
                <w:sz w:val="22"/>
                <w:szCs w:val="22"/>
              </w:rPr>
              <w:t xml:space="preserve"> the council’s and Trust’s Adult Care including providing senior level leadership</w:t>
            </w:r>
            <w:r w:rsidR="006A414E">
              <w:rPr>
                <w:sz w:val="22"/>
                <w:szCs w:val="22"/>
              </w:rPr>
              <w:t>.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To </w:t>
            </w:r>
            <w:r w:rsidR="00CA6E7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make</w:t>
            </w:r>
            <w:proofErr w:type="gramEnd"/>
            <w:r>
              <w:rPr>
                <w:sz w:val="22"/>
                <w:szCs w:val="22"/>
              </w:rPr>
              <w:t xml:space="preserve"> a positive and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effective contribution to the overall management of </w:t>
            </w:r>
            <w:r>
              <w:rPr>
                <w:sz w:val="22"/>
                <w:szCs w:val="22"/>
              </w:rPr>
              <w:t xml:space="preserve">Adult Social Care and Commissioning within </w:t>
            </w:r>
            <w:r>
              <w:rPr>
                <w:sz w:val="22"/>
                <w:szCs w:val="22"/>
              </w:rPr>
              <w:t>the Council</w:t>
            </w:r>
            <w:r w:rsidR="00CA6E7C">
              <w:rPr>
                <w:sz w:val="22"/>
                <w:szCs w:val="22"/>
              </w:rPr>
              <w:t xml:space="preserve"> and ensure that services whether commissioned or directly delivered are of high quality, safe, effective and managed within an agreed financial envelope.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1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829EB">
        <w:trPr>
          <w:trHeight w:val="2900"/>
        </w:trPr>
        <w:tc>
          <w:tcPr>
            <w:tcW w:w="9540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KEY FUNCTIONAL RESPONSIBILITIES: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accountable for the effective performance and delivery of </w:t>
            </w:r>
            <w:r>
              <w:rPr>
                <w:sz w:val="22"/>
                <w:szCs w:val="22"/>
              </w:rPr>
              <w:t>Adult Social Care and Commissioning for the Council</w:t>
            </w:r>
            <w:r>
              <w:rPr>
                <w:sz w:val="22"/>
                <w:szCs w:val="22"/>
              </w:rPr>
              <w:t>.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 be accountable for the contracting and procurement functions and arrangements for the Council.</w:t>
            </w: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</w:p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help ensure the </w:t>
            </w:r>
            <w:r>
              <w:rPr>
                <w:sz w:val="22"/>
                <w:szCs w:val="22"/>
              </w:rPr>
              <w:t>delivery and coordination of excellent customer service across the whole council.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8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</w:tbl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  <w:r>
        <w:br w:type="page"/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567" w:hanging="567"/>
        <w:rPr>
          <w:sz w:val="22"/>
          <w:szCs w:val="22"/>
        </w:rPr>
      </w:pPr>
    </w:p>
    <w:tbl>
      <w:tblPr>
        <w:tblStyle w:val="a2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829EB">
        <w:tc>
          <w:tcPr>
            <w:tcW w:w="9540" w:type="dxa"/>
          </w:tcPr>
          <w:p w:rsidR="007829EB" w:rsidRDefault="006A414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u w:val="none"/>
              </w:rPr>
            </w:pPr>
            <w:r>
              <w:rPr>
                <w:rFonts w:ascii="Arial" w:eastAsia="Arial" w:hAnsi="Arial" w:cs="Arial"/>
                <w:u w:val="none"/>
              </w:rPr>
              <w:t xml:space="preserve">PRINCIPAL ACCOUNTABILITIES </w:t>
            </w:r>
          </w:p>
        </w:tc>
      </w:tr>
      <w:tr w:rsidR="007829EB">
        <w:tc>
          <w:tcPr>
            <w:tcW w:w="9540" w:type="dxa"/>
            <w:tcBorders>
              <w:top w:val="single" w:sz="4" w:space="0" w:color="000000"/>
              <w:bottom w:val="nil"/>
            </w:tcBorders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management and professional advice to the Executive Director (Adult</w:t>
            </w:r>
            <w:r>
              <w:rPr>
                <w:sz w:val="22"/>
                <w:szCs w:val="22"/>
              </w:rPr>
              <w:t xml:space="preserve"> Care)</w:t>
            </w:r>
            <w:r>
              <w:rPr>
                <w:sz w:val="22"/>
                <w:szCs w:val="22"/>
              </w:rPr>
              <w:t xml:space="preserve">, on all matters of strategy and policy relating to </w:t>
            </w:r>
            <w:r>
              <w:rPr>
                <w:sz w:val="22"/>
                <w:szCs w:val="22"/>
              </w:rPr>
              <w:t xml:space="preserve">Adult Social Care and Commissioning </w:t>
            </w:r>
            <w:r>
              <w:rPr>
                <w:sz w:val="22"/>
                <w:szCs w:val="22"/>
              </w:rPr>
              <w:t xml:space="preserve">issues.  Ensure that all relevant strategic plans, policies and statutory requirements are effectively developed and implemented.  </w:t>
            </w:r>
          </w:p>
        </w:tc>
      </w:tr>
      <w:tr w:rsidR="007829EB">
        <w:tc>
          <w:tcPr>
            <w:tcW w:w="9540" w:type="dxa"/>
            <w:tcBorders>
              <w:top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the provision of timely and accurate advice and information on the development and review of policies and strategies related to strategic commissioning and adult social care </w:t>
            </w:r>
            <w:r>
              <w:rPr>
                <w:sz w:val="22"/>
                <w:szCs w:val="22"/>
              </w:rPr>
              <w:t>Adult Care</w:t>
            </w:r>
            <w:r>
              <w:rPr>
                <w:sz w:val="22"/>
                <w:szCs w:val="22"/>
              </w:rPr>
              <w:t xml:space="preserve"> issues. 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the most effective </w:t>
            </w:r>
            <w:proofErr w:type="spellStart"/>
            <w:r>
              <w:rPr>
                <w:sz w:val="22"/>
                <w:szCs w:val="22"/>
              </w:rPr>
              <w:t>utilisation</w:t>
            </w:r>
            <w:proofErr w:type="spellEnd"/>
            <w:r>
              <w:rPr>
                <w:sz w:val="22"/>
                <w:szCs w:val="22"/>
              </w:rPr>
              <w:t xml:space="preserve"> and deployment of resources (Human, Physical and Financial) within </w:t>
            </w:r>
            <w:r>
              <w:rPr>
                <w:sz w:val="22"/>
                <w:szCs w:val="22"/>
              </w:rPr>
              <w:t xml:space="preserve">Adult Care </w:t>
            </w:r>
            <w:r>
              <w:rPr>
                <w:sz w:val="22"/>
                <w:szCs w:val="22"/>
              </w:rPr>
              <w:t>in order to implement the Council's priorities and statutory responsibilities within allocated budgets in an imaginative and innovative w</w:t>
            </w:r>
            <w:r>
              <w:rPr>
                <w:sz w:val="22"/>
                <w:szCs w:val="22"/>
              </w:rPr>
              <w:t xml:space="preserve">ay. 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provision of robust mechanisms for establishing and monitoring the standard and effectiveness of strategic commissioning</w:t>
            </w:r>
            <w:r>
              <w:rPr>
                <w:sz w:val="22"/>
                <w:szCs w:val="22"/>
              </w:rPr>
              <w:t xml:space="preserve">, Adult Care, contracting and procurement </w:t>
            </w:r>
            <w:r>
              <w:rPr>
                <w:sz w:val="22"/>
                <w:szCs w:val="22"/>
              </w:rPr>
              <w:t>related strategies, policies and practices.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 and maintain effective management and communication systems and processes within </w:t>
            </w:r>
            <w:r>
              <w:rPr>
                <w:sz w:val="22"/>
                <w:szCs w:val="22"/>
              </w:rPr>
              <w:t>Adult Social Care and Commissioning</w:t>
            </w:r>
            <w:r>
              <w:rPr>
                <w:sz w:val="22"/>
                <w:szCs w:val="22"/>
              </w:rPr>
              <w:t xml:space="preserve"> and, in conjunction with senior colleagues, ensure that employees at all levels are fully aware of their respective roles, functions and responsibilities and changes to legislation or Council policies.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leadership and direction to managers and s</w:t>
            </w:r>
            <w:r>
              <w:rPr>
                <w:sz w:val="22"/>
                <w:szCs w:val="22"/>
              </w:rPr>
              <w:t>taff within Adult Social Care and st</w:t>
            </w:r>
            <w:r>
              <w:rPr>
                <w:sz w:val="22"/>
                <w:szCs w:val="22"/>
              </w:rPr>
              <w:t xml:space="preserve">rategic commissioning, Adult Care </w:t>
            </w:r>
            <w:r>
              <w:rPr>
                <w:sz w:val="22"/>
                <w:szCs w:val="22"/>
              </w:rPr>
              <w:t xml:space="preserve">performance management initiatives and systems.  Promote the support and development of staff through appraisal, training and development </w:t>
            </w:r>
            <w:proofErr w:type="spellStart"/>
            <w:r>
              <w:rPr>
                <w:sz w:val="22"/>
                <w:szCs w:val="22"/>
              </w:rPr>
              <w:t>programmes</w:t>
            </w:r>
            <w:proofErr w:type="spellEnd"/>
            <w:r>
              <w:rPr>
                <w:sz w:val="22"/>
                <w:szCs w:val="22"/>
              </w:rPr>
              <w:t>.  Promote and maintain a positive rel</w:t>
            </w:r>
            <w:r>
              <w:rPr>
                <w:sz w:val="22"/>
                <w:szCs w:val="22"/>
              </w:rPr>
              <w:t>ationship with all employees and their respective trade unions in the interests of developing a climate of harmonious and constructive employee relations.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promote the role of the Council in relation to strategic commissioning</w:t>
            </w:r>
            <w:r>
              <w:rPr>
                <w:sz w:val="22"/>
                <w:szCs w:val="22"/>
              </w:rPr>
              <w:t xml:space="preserve">, Adult Care procurement and contracting </w:t>
            </w:r>
            <w:r>
              <w:rPr>
                <w:sz w:val="22"/>
                <w:szCs w:val="22"/>
              </w:rPr>
              <w:t xml:space="preserve">activities and policies at local, regional and national level as appropriate.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effective joint working and planning with all relevant external agencies, so as to </w:t>
            </w:r>
            <w:proofErr w:type="spellStart"/>
            <w:r>
              <w:rPr>
                <w:sz w:val="22"/>
                <w:szCs w:val="22"/>
              </w:rPr>
              <w:t>maximise</w:t>
            </w:r>
            <w:proofErr w:type="spellEnd"/>
            <w:r>
              <w:rPr>
                <w:sz w:val="22"/>
                <w:szCs w:val="22"/>
              </w:rPr>
              <w:t xml:space="preserve"> the Council's role, function and influence in relation to all aspects of </w:t>
            </w:r>
            <w:r>
              <w:rPr>
                <w:sz w:val="22"/>
                <w:szCs w:val="22"/>
              </w:rPr>
              <w:t>adult social care and commissioning</w:t>
            </w:r>
            <w:r>
              <w:rPr>
                <w:sz w:val="22"/>
                <w:szCs w:val="22"/>
              </w:rPr>
              <w:t xml:space="preserve">. 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a </w:t>
            </w: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ember of the </w:t>
            </w:r>
            <w:r>
              <w:rPr>
                <w:sz w:val="22"/>
                <w:szCs w:val="22"/>
              </w:rPr>
              <w:t xml:space="preserve">Adult Care </w:t>
            </w:r>
            <w:r>
              <w:rPr>
                <w:sz w:val="22"/>
                <w:szCs w:val="22"/>
              </w:rPr>
              <w:t xml:space="preserve">Senior Management Team, fully participate in the corporate planning and management of the Department.  Ensure full compliance with corporate policies and processes by management and staff within </w:t>
            </w:r>
            <w:r>
              <w:rPr>
                <w:sz w:val="22"/>
                <w:szCs w:val="22"/>
              </w:rPr>
              <w:t xml:space="preserve">Adult Social Care and Commissioning </w:t>
            </w:r>
            <w:r>
              <w:rPr>
                <w:sz w:val="22"/>
                <w:szCs w:val="22"/>
              </w:rPr>
              <w:t xml:space="preserve">and actively promote and </w:t>
            </w:r>
            <w:r>
              <w:rPr>
                <w:sz w:val="22"/>
                <w:szCs w:val="22"/>
              </w:rPr>
              <w:t xml:space="preserve">encourage the adoption of Council policies and initiatives.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good relations with all other Departments and Services of the Council with a view to achieving the most effective performance of its functions to achieve a </w:t>
            </w:r>
            <w:proofErr w:type="spellStart"/>
            <w:r>
              <w:rPr>
                <w:sz w:val="22"/>
                <w:szCs w:val="22"/>
              </w:rPr>
              <w:t>co-ordinated</w:t>
            </w:r>
            <w:proofErr w:type="spellEnd"/>
            <w:r>
              <w:rPr>
                <w:sz w:val="22"/>
                <w:szCs w:val="22"/>
              </w:rPr>
              <w:t xml:space="preserve"> approach to the development and provision of</w:t>
            </w:r>
            <w:r>
              <w:rPr>
                <w:sz w:val="22"/>
                <w:szCs w:val="22"/>
              </w:rPr>
              <w:t xml:space="preserve"> financial related matters</w:t>
            </w:r>
            <w:r>
              <w:rPr>
                <w:sz w:val="22"/>
                <w:szCs w:val="22"/>
              </w:rPr>
              <w:t>.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360"/>
              <w:rPr>
                <w:sz w:val="16"/>
                <w:szCs w:val="16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duties consistent with the nature, level and grade of the post as may be assigned by the Executive Director (</w:t>
            </w:r>
            <w:r>
              <w:rPr>
                <w:sz w:val="22"/>
                <w:szCs w:val="22"/>
              </w:rPr>
              <w:t>Adult Care)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16"/>
                <w:szCs w:val="16"/>
                <w:u w:val="single"/>
              </w:rPr>
            </w:pP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PART B: SENIOR MANAGERS CORE COMPETENCIES </w:t>
      </w: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6083300</wp:posOffset>
                </wp:positionH>
                <wp:positionV relativeFrom="paragraph">
                  <wp:posOffset>101600</wp:posOffset>
                </wp:positionV>
                <wp:extent cx="1371600" cy="787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385348"/>
                          <a:ext cx="13716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29EB" w:rsidRDefault="007829EB">
                            <w:pPr>
                              <w:textDirection w:val="btLr"/>
                            </w:pPr>
                          </w:p>
                          <w:p w:rsidR="007829EB" w:rsidRDefault="007829EB">
                            <w:pPr>
                              <w:textDirection w:val="btLr"/>
                            </w:pPr>
                          </w:p>
                          <w:p w:rsidR="007829EB" w:rsidRDefault="007829E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6083300</wp:posOffset>
                </wp:positionH>
                <wp:positionV relativeFrom="paragraph">
                  <wp:posOffset>101600</wp:posOffset>
                </wp:positionV>
                <wp:extent cx="1371600" cy="787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3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30"/>
        <w:gridCol w:w="4810"/>
      </w:tblGrid>
      <w:tr w:rsidR="007829EB">
        <w:tc>
          <w:tcPr>
            <w:tcW w:w="4730" w:type="dxa"/>
            <w:tcBorders>
              <w:bottom w:val="single" w:sz="4" w:space="0" w:color="000000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 Partners</w:t>
            </w:r>
          </w:p>
        </w:tc>
        <w:tc>
          <w:tcPr>
            <w:tcW w:w="4810" w:type="dxa"/>
            <w:tcBorders>
              <w:bottom w:val="single" w:sz="4" w:space="0" w:color="000000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across services and departments to deliver corporate excellence</w:t>
            </w:r>
          </w:p>
          <w:p w:rsidR="007829EB" w:rsidRDefault="006A41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with external partners to deliver excellent service</w:t>
            </w:r>
          </w:p>
          <w:p w:rsidR="007829EB" w:rsidRDefault="006A41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seek opportunities for partnership working at a local, regional, national </w:t>
            </w:r>
          </w:p>
          <w:p w:rsidR="007829EB" w:rsidRDefault="006A41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clarify expectations, o</w:t>
            </w:r>
            <w:r>
              <w:rPr>
                <w:sz w:val="22"/>
                <w:szCs w:val="22"/>
              </w:rPr>
              <w:t>bjectives and working arrangements of partnerships</w:t>
            </w:r>
          </w:p>
          <w:p w:rsidR="007829EB" w:rsidRDefault="006A414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effectively to multi-partner projects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4"/>
        <w:tblW w:w="9540" w:type="dxa"/>
        <w:tblInd w:w="-43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1"/>
        <w:gridCol w:w="4789"/>
      </w:tblGrid>
      <w:tr w:rsidR="007829EB">
        <w:tc>
          <w:tcPr>
            <w:tcW w:w="4751" w:type="dxa"/>
            <w:tcBorders>
              <w:top w:val="nil"/>
              <w:bottom w:val="single" w:sz="4" w:space="0" w:color="000000"/>
              <w:right w:val="nil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Serving our Community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000000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the Community Plan</w:t>
            </w:r>
          </w:p>
          <w:p w:rsidR="007829EB" w:rsidRDefault="006A414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seek and act on feedback from the community</w:t>
            </w:r>
          </w:p>
          <w:p w:rsidR="007829EB" w:rsidRDefault="006A414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Service and Corporate plans to reflect community needs </w:t>
            </w:r>
          </w:p>
          <w:p w:rsidR="007829EB" w:rsidRDefault="006A414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develop, deliver and improve access to services based on an awareness and understanding of the diverse community</w:t>
            </w:r>
          </w:p>
          <w:p w:rsidR="007829EB" w:rsidRDefault="006A414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equality of opportunity in service delivery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5"/>
        <w:tblW w:w="9540" w:type="dxa"/>
        <w:tblInd w:w="-43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811"/>
      </w:tblGrid>
      <w:tr w:rsidR="007829EB">
        <w:tc>
          <w:tcPr>
            <w:tcW w:w="4729" w:type="dxa"/>
            <w:tcBorders>
              <w:bottom w:val="single" w:sz="4" w:space="0" w:color="000000"/>
              <w:right w:val="nil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Working within the Political Arena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000000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understand and actively support the role of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829EB" w:rsidRDefault="006A41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and actively support the democratic process within Northumberland Council</w:t>
            </w:r>
          </w:p>
          <w:p w:rsidR="007829EB" w:rsidRDefault="006A41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recognise</w:t>
            </w:r>
            <w:proofErr w:type="spellEnd"/>
            <w:r>
              <w:rPr>
                <w:sz w:val="22"/>
                <w:szCs w:val="22"/>
              </w:rPr>
              <w:t xml:space="preserve"> the impact of Government and legislation on Council strategy and services</w:t>
            </w:r>
          </w:p>
          <w:p w:rsidR="007829EB" w:rsidRDefault="006A41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consult, support and keep </w:t>
            </w:r>
            <w:proofErr w:type="spellStart"/>
            <w:r>
              <w:rPr>
                <w:sz w:val="22"/>
                <w:szCs w:val="22"/>
              </w:rPr>
              <w:t>Councillors</w:t>
            </w:r>
            <w:proofErr w:type="spellEnd"/>
            <w:r>
              <w:rPr>
                <w:sz w:val="22"/>
                <w:szCs w:val="22"/>
              </w:rPr>
              <w:t xml:space="preserve"> informed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6"/>
        <w:tblW w:w="95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829EB">
        <w:tc>
          <w:tcPr>
            <w:tcW w:w="9540" w:type="dxa"/>
            <w:tcBorders>
              <w:bottom w:val="single" w:sz="4" w:space="0" w:color="000000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Delivering Excellence</w:t>
            </w:r>
          </w:p>
        </w:tc>
      </w:tr>
      <w:tr w:rsidR="007829EB">
        <w:trPr>
          <w:trHeight w:val="420"/>
        </w:trPr>
        <w:tc>
          <w:tcPr>
            <w:tcW w:w="9540" w:type="dxa"/>
            <w:tcBorders>
              <w:top w:val="single" w:sz="4" w:space="0" w:color="000000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 how corporate performance is measured</w:t>
            </w:r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services in relation to objectives and performance indicators</w:t>
            </w:r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 a culture that embraces the agreed Vision and Values</w:t>
            </w:r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positive ambassadors for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 to strengthening corporate leadership capacity</w:t>
            </w:r>
          </w:p>
          <w:p w:rsidR="007829EB" w:rsidRDefault="006A41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</w:t>
            </w:r>
            <w:r>
              <w:rPr>
                <w:sz w:val="22"/>
                <w:szCs w:val="22"/>
              </w:rPr>
              <w:t xml:space="preserve">y opportunities where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performance could be improved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7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5"/>
        <w:gridCol w:w="4495"/>
      </w:tblGrid>
      <w:tr w:rsidR="007829EB">
        <w:tc>
          <w:tcPr>
            <w:tcW w:w="50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Focusing on the Future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6197600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6197600</wp:posOffset>
                      </wp:positionH>
                      <wp:positionV relativeFrom="paragraph">
                        <wp:posOffset>38100</wp:posOffset>
                      </wp:positionV>
                      <wp:extent cx="1371600" cy="787400"/>
                      <wp:effectExtent b="0" l="0" r="0" t="0"/>
                      <wp:wrapNone/>
                      <wp:docPr id="4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scan the external environment, look ahead, assess strategic options and develop the Council in the medium and long term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the development and implementation of corporate policy at a strategic level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challenge what we do and how we do it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 relevant national and regional </w:t>
            </w:r>
            <w:proofErr w:type="spellStart"/>
            <w:r>
              <w:rPr>
                <w:sz w:val="22"/>
                <w:szCs w:val="22"/>
              </w:rPr>
              <w:t>organisations</w:t>
            </w:r>
            <w:proofErr w:type="spellEnd"/>
            <w:r>
              <w:rPr>
                <w:sz w:val="22"/>
                <w:szCs w:val="22"/>
              </w:rPr>
              <w:t xml:space="preserve"> and partners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 plans, policies, strategies and services to provide consisten</w:t>
            </w:r>
            <w:r>
              <w:rPr>
                <w:sz w:val="22"/>
                <w:szCs w:val="22"/>
              </w:rPr>
              <w:t>t service delivery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generate innovative ideas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strategy into action</w:t>
            </w:r>
          </w:p>
          <w:p w:rsidR="007829EB" w:rsidRDefault="006A414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implications of decisions across the Council and act in the overall interests of Council performance</w:t>
            </w:r>
          </w:p>
          <w:p w:rsidR="006A414E" w:rsidRDefault="006A414E" w:rsidP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A414E" w:rsidRDefault="006A414E" w:rsidP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A414E" w:rsidRDefault="006A414E" w:rsidP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Building Shared Vision and Values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scan the internal environment and engage employees in compelling visions of the future </w:t>
            </w:r>
          </w:p>
          <w:p w:rsidR="007829EB" w:rsidRDefault="006A41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an environment in which a culture embracing Vision and Values can thrive</w:t>
            </w:r>
          </w:p>
          <w:p w:rsidR="007829EB" w:rsidRDefault="006A41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involve all stakeholders in building a vision for the future</w:t>
            </w:r>
          </w:p>
          <w:p w:rsidR="007829EB" w:rsidRDefault="006A41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a clear picture of the</w:t>
            </w:r>
            <w:r>
              <w:rPr>
                <w:sz w:val="22"/>
                <w:szCs w:val="22"/>
              </w:rPr>
              <w:t xml:space="preserve"> direction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is taking and communicate it with insight, energy and vision</w:t>
            </w:r>
          </w:p>
          <w:p w:rsidR="007829EB" w:rsidRDefault="006A414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translate the Council’s vision into practical and achievable plans</w:t>
            </w:r>
          </w:p>
        </w:tc>
      </w:tr>
      <w:tr w:rsidR="007829EB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Strengthening Corporate Leadership Capacity</w:t>
            </w: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bottom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continuously develop the political leadership and managerial interface</w:t>
            </w: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operate with others as a cohesive senior managerial team</w:t>
            </w: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time with staff and other managers for discussion about their development rather than fire-fighting </w:t>
            </w: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coach and mentor sta</w:t>
            </w:r>
            <w:r>
              <w:rPr>
                <w:sz w:val="22"/>
                <w:szCs w:val="22"/>
              </w:rPr>
              <w:t>ff and other managers</w:t>
            </w: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lead, delegate and empower others at a strategic level</w:t>
            </w:r>
          </w:p>
          <w:p w:rsidR="007829EB" w:rsidRDefault="006A41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and develop potential senior managerial successors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  <w:gridSpan w:val="2"/>
            <w:tcBorders>
              <w:top w:val="nil"/>
              <w:bottom w:val="single" w:sz="4" w:space="0" w:color="000000"/>
            </w:tcBorders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Promoting and Facilitating Change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385348"/>
                                <a:ext cx="1371600" cy="789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  <w:p w:rsidR="007829EB" w:rsidRDefault="007829E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6083300</wp:posOffset>
                      </wp:positionH>
                      <wp:positionV relativeFrom="paragraph">
                        <wp:posOffset>-88899</wp:posOffset>
                      </wp:positionV>
                      <wp:extent cx="1371600" cy="787400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1600" cy="787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7829EB">
        <w:tc>
          <w:tcPr>
            <w:tcW w:w="9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critically evaluate the reasons that prompt change and take appropriate action</w:t>
            </w:r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steer internal change </w:t>
            </w:r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proactively manage the exchange of information between the public and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 the resource implications of change</w:t>
            </w:r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anticipate</w:t>
            </w:r>
            <w:r>
              <w:rPr>
                <w:sz w:val="22"/>
                <w:szCs w:val="22"/>
              </w:rPr>
              <w:t xml:space="preserve"> and respond to emotional and morale issues brought about by change</w:t>
            </w:r>
          </w:p>
          <w:p w:rsidR="007829EB" w:rsidRDefault="006A414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 and evaluate the change process to ensure aims are met</w:t>
            </w:r>
          </w:p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  <w:u w:val="single"/>
        </w:rPr>
      </w:pP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b/>
          <w:sz w:val="22"/>
          <w:szCs w:val="22"/>
        </w:rPr>
      </w:pPr>
      <w:r>
        <w:br w:type="page"/>
      </w: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NORTHUMBERLAND COUNCIL</w:t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  <w:u w:val="single"/>
        </w:rPr>
      </w:pPr>
    </w:p>
    <w:p w:rsidR="007829EB" w:rsidRDefault="006A414E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PART C: </w:t>
      </w:r>
      <w:r>
        <w:rPr>
          <w:b/>
          <w:sz w:val="22"/>
          <w:szCs w:val="22"/>
        </w:rPr>
        <w:t xml:space="preserve">SERVICE DIRECTOR: </w:t>
      </w:r>
      <w:r>
        <w:rPr>
          <w:b/>
          <w:sz w:val="22"/>
          <w:szCs w:val="22"/>
        </w:rPr>
        <w:t xml:space="preserve">PERSON SPECIFICATION </w:t>
      </w:r>
    </w:p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16"/>
          <w:szCs w:val="16"/>
        </w:rPr>
      </w:pPr>
    </w:p>
    <w:tbl>
      <w:tblPr>
        <w:tblStyle w:val="a8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6777"/>
      </w:tblGrid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GROUP: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Social Care </w:t>
            </w:r>
            <w:r>
              <w:rPr>
                <w:sz w:val="22"/>
                <w:szCs w:val="22"/>
              </w:rPr>
              <w:t>Directorate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SERVICE:</w:t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Adult Social Care and Commissioning 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JOB TITLE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Service Director - </w:t>
            </w:r>
            <w:r>
              <w:rPr>
                <w:sz w:val="22"/>
                <w:szCs w:val="22"/>
              </w:rPr>
              <w:t>Adult Social Care and Commissioning</w:t>
            </w:r>
          </w:p>
        </w:tc>
      </w:tr>
      <w:tr w:rsidR="007829EB">
        <w:tc>
          <w:tcPr>
            <w:tcW w:w="9540" w:type="dxa"/>
            <w:gridSpan w:val="2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</w:p>
        </w:tc>
      </w:tr>
      <w:tr w:rsidR="007829EB">
        <w:tc>
          <w:tcPr>
            <w:tcW w:w="2763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777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 17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sz w:val="22"/>
          <w:szCs w:val="22"/>
        </w:rPr>
      </w:pPr>
    </w:p>
    <w:tbl>
      <w:tblPr>
        <w:tblStyle w:val="a9"/>
        <w:tblW w:w="95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7829EB">
        <w:tc>
          <w:tcPr>
            <w:tcW w:w="9540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Qualifications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</w:tcPr>
          <w:p w:rsidR="007829EB" w:rsidRPr="006A414E" w:rsidRDefault="006A414E" w:rsidP="006A41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Relevant professional or business </w:t>
            </w:r>
            <w:r>
              <w:rPr>
                <w:sz w:val="22"/>
                <w:szCs w:val="22"/>
              </w:rPr>
              <w:t>qualification</w:t>
            </w:r>
            <w:r>
              <w:rPr>
                <w:sz w:val="22"/>
                <w:szCs w:val="22"/>
              </w:rPr>
              <w:t xml:space="preserve"> e.g. Social Worker, Health professional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, 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recent relevant management training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level or equivalent standard of general education. 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recent relevant Continuous Professional Development 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Experience, Knowledge and Skills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Thorough knowledge and understanding of relevant service legislation, best practice and contemporary issues. </w:t>
            </w:r>
          </w:p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Recent experience and achievement at a senior management level within an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of comparable scope and complexity.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successful strategic management and a proven track record of leading in the formulation and delivery of strategic objec</w:t>
            </w:r>
            <w:r>
              <w:rPr>
                <w:sz w:val="22"/>
                <w:szCs w:val="22"/>
              </w:rPr>
              <w:t xml:space="preserve">tives and policies within a large, multi-disciplined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demonstrable track record of leading and managing multi-disciplinary teams and delivering outcomes that require collaborative approaches both within the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 xml:space="preserve"> and with external pa</w:t>
            </w:r>
            <w:r>
              <w:rPr>
                <w:sz w:val="22"/>
                <w:szCs w:val="22"/>
              </w:rPr>
              <w:t>rtners.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Extensive senior managerial expertise and extensive experience and demonstrable success in the generation and management of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and cultural change and of securing the support of others in the process.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adult social care strategic </w:t>
            </w:r>
            <w:r>
              <w:rPr>
                <w:sz w:val="22"/>
                <w:szCs w:val="22"/>
              </w:rPr>
              <w:t xml:space="preserve">commissioning </w:t>
            </w:r>
            <w:r>
              <w:rPr>
                <w:sz w:val="22"/>
                <w:szCs w:val="22"/>
              </w:rPr>
              <w:t xml:space="preserve">within a comparable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successful track record of engaging effectively with others at a senior level and building productive partnerships with key stakeholders.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analytical skills</w:t>
            </w:r>
            <w:r>
              <w:rPr>
                <w:sz w:val="22"/>
                <w:szCs w:val="22"/>
              </w:rPr>
              <w:t xml:space="preserve"> and an aptitude for developing innovative solutions to complex problems.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interpersonal and communication skills to relate effectively to, and command the respect trust and confidence of employees, Council Members, the community and other stakeh</w:t>
            </w:r>
            <w:r>
              <w:rPr>
                <w:sz w:val="22"/>
                <w:szCs w:val="22"/>
              </w:rPr>
              <w:t>olders.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skills and awareness.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Motivation</w:t>
            </w:r>
          </w:p>
        </w:tc>
      </w:tr>
      <w:tr w:rsidR="007829EB">
        <w:tc>
          <w:tcPr>
            <w:tcW w:w="9540" w:type="dxa"/>
          </w:tcPr>
          <w:p w:rsidR="007829EB" w:rsidRDefault="0078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 leader with a vision for services with high levels of energy, stamina and resilience.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committed to the principles and values underpinning the unitary Council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corporate orientation and a commitment to tackling issues in a non-departmental manner.</w:t>
            </w:r>
          </w:p>
        </w:tc>
      </w:tr>
      <w:tr w:rsidR="007829EB">
        <w:tc>
          <w:tcPr>
            <w:tcW w:w="9540" w:type="dxa"/>
          </w:tcPr>
          <w:p w:rsidR="007829EB" w:rsidRDefault="006A414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Personality, conduct and credibility that engages and commands the confidence of Council Members, senior managers, staff, the public, external partners and other sta</w:t>
            </w:r>
            <w:r>
              <w:rPr>
                <w:sz w:val="22"/>
                <w:szCs w:val="22"/>
              </w:rPr>
              <w:t>keholders.</w:t>
            </w:r>
          </w:p>
        </w:tc>
      </w:tr>
    </w:tbl>
    <w:p w:rsidR="007829EB" w:rsidRDefault="007829EB">
      <w:pPr>
        <w:pBdr>
          <w:top w:val="nil"/>
          <w:left w:val="nil"/>
          <w:bottom w:val="nil"/>
          <w:right w:val="nil"/>
          <w:between w:val="nil"/>
        </w:pBdr>
      </w:pPr>
    </w:p>
    <w:sectPr w:rsidR="007829EB">
      <w:pgSz w:w="11906" w:h="16838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3C3"/>
    <w:multiLevelType w:val="multilevel"/>
    <w:tmpl w:val="1C763B9E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0CB520BA"/>
    <w:multiLevelType w:val="multilevel"/>
    <w:tmpl w:val="66404378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2">
    <w:nsid w:val="1F2B6EDB"/>
    <w:multiLevelType w:val="multilevel"/>
    <w:tmpl w:val="32FC5EF2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3">
    <w:nsid w:val="2AE71282"/>
    <w:multiLevelType w:val="multilevel"/>
    <w:tmpl w:val="827647D0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3D454B34"/>
    <w:multiLevelType w:val="multilevel"/>
    <w:tmpl w:val="9E245E6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5">
    <w:nsid w:val="49CB3BE8"/>
    <w:multiLevelType w:val="multilevel"/>
    <w:tmpl w:val="F00EDF5A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>
    <w:nsid w:val="4A316E52"/>
    <w:multiLevelType w:val="multilevel"/>
    <w:tmpl w:val="0688DCDE"/>
    <w:lvl w:ilvl="0">
      <w:start w:val="228916368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5FB207A6"/>
    <w:multiLevelType w:val="multilevel"/>
    <w:tmpl w:val="54F818DA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8">
    <w:nsid w:val="689729FB"/>
    <w:multiLevelType w:val="multilevel"/>
    <w:tmpl w:val="7E0AA730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9">
    <w:nsid w:val="6C332AF2"/>
    <w:multiLevelType w:val="multilevel"/>
    <w:tmpl w:val="67B64E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9E64AB"/>
    <w:multiLevelType w:val="multilevel"/>
    <w:tmpl w:val="9CC48E7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1">
    <w:nsid w:val="73486E3B"/>
    <w:multiLevelType w:val="multilevel"/>
    <w:tmpl w:val="4650EA14"/>
    <w:lvl w:ilvl="0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29EB"/>
    <w:rsid w:val="006A414E"/>
    <w:rsid w:val="007829EB"/>
    <w:rsid w:val="00CA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64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outlineLvl w:val="0"/>
    </w:pPr>
    <w:rPr>
      <w:rFonts w:ascii="Times New Roman" w:eastAsia="Times New Roman" w:hAnsi="Times New Roman" w:cs="Times New Roman"/>
      <w:b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Lally, Daljit</dc:creator>
  <cp:lastModifiedBy>Lally, Daljit</cp:lastModifiedBy>
  <cp:revision>2</cp:revision>
  <dcterms:created xsi:type="dcterms:W3CDTF">2018-08-30T13:22:00Z</dcterms:created>
  <dcterms:modified xsi:type="dcterms:W3CDTF">2018-08-30T13:22:00Z</dcterms:modified>
</cp:coreProperties>
</file>