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08764B54" w:rsidR="009206C5" w:rsidRPr="000D5DD9" w:rsidRDefault="007D34A2" w:rsidP="009206C5">
            <w:pPr>
              <w:rPr>
                <w:b/>
                <w:szCs w:val="24"/>
              </w:rPr>
            </w:pPr>
            <w:r>
              <w:rPr>
                <w:b/>
                <w:szCs w:val="24"/>
              </w:rPr>
              <w:t>Bearpark Primary</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335F1525" w:rsidR="00263586" w:rsidRDefault="00263586" w:rsidP="00263586">
      <w:pPr>
        <w:rPr>
          <w:szCs w:val="24"/>
          <w:u w:val="single"/>
        </w:rPr>
      </w:pPr>
    </w:p>
    <w:p w14:paraId="61BB0501" w14:textId="77777777" w:rsidR="008519D4" w:rsidRPr="00413473" w:rsidRDefault="008519D4" w:rsidP="00263586">
      <w:pPr>
        <w:rPr>
          <w:szCs w:val="24"/>
          <w:u w:val="single"/>
        </w:rPr>
      </w:pPr>
    </w:p>
    <w:p w14:paraId="4B5CDF2B" w14:textId="37B29FC7" w:rsidR="00263586" w:rsidRPr="00413473" w:rsidRDefault="00263586" w:rsidP="00263586">
      <w:pPr>
        <w:rPr>
          <w:szCs w:val="24"/>
          <w:u w:val="single"/>
        </w:rPr>
      </w:pPr>
      <w:r w:rsidRPr="00413473">
        <w:rPr>
          <w:szCs w:val="24"/>
          <w:u w:val="single"/>
        </w:rPr>
        <w:lastRenderedPageBreak/>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lastRenderedPageBreak/>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65DD1A34"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 xml:space="preserve">(No more </w:t>
            </w:r>
            <w:r w:rsidR="008519D4">
              <w:rPr>
                <w:bCs/>
                <w:sz w:val="22"/>
              </w:rPr>
              <w:t>than 5</w:t>
            </w:r>
            <w:r>
              <w:rPr>
                <w:bCs/>
                <w:sz w:val="22"/>
              </w:rPr>
              <w:t>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6CFAA291" w:rsidR="00DA4638" w:rsidRDefault="008519D4" w:rsidP="00DA4638">
            <w:pPr>
              <w:pStyle w:val="ListParagraph"/>
              <w:numPr>
                <w:ilvl w:val="0"/>
                <w:numId w:val="16"/>
              </w:numPr>
              <w:ind w:left="335" w:hanging="284"/>
              <w:rPr>
                <w:sz w:val="22"/>
              </w:rPr>
            </w:pPr>
            <w:r>
              <w:rPr>
                <w:sz w:val="22"/>
              </w:rPr>
              <w:t>Highly e</w:t>
            </w:r>
            <w:r w:rsidR="00DA4638">
              <w:rPr>
                <w:sz w:val="22"/>
              </w:rPr>
              <w:t>ffective classroom practitioner with a good knowledge and understanding of how children learn</w:t>
            </w:r>
            <w:r>
              <w:rPr>
                <w:sz w:val="22"/>
              </w:rPr>
              <w:t xml:space="preserve"> (including SEND)</w:t>
            </w:r>
          </w:p>
          <w:p w14:paraId="2744B0D1" w14:textId="0AC1DB16"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w:t>
            </w:r>
            <w:r w:rsidR="008519D4">
              <w:rPr>
                <w:sz w:val="22"/>
              </w:rPr>
              <w:t>range school</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48170B7" w14:textId="77777777" w:rsidR="00DA4638"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p w14:paraId="4C1D4E56" w14:textId="2E7CD16A" w:rsidR="008519D4" w:rsidRPr="00B1603A" w:rsidRDefault="008519D4" w:rsidP="00A81561">
            <w:pPr>
              <w:pStyle w:val="ListParagraph"/>
              <w:numPr>
                <w:ilvl w:val="0"/>
                <w:numId w:val="5"/>
              </w:numPr>
              <w:rPr>
                <w:sz w:val="22"/>
              </w:rPr>
            </w:pPr>
            <w:r>
              <w:rPr>
                <w:sz w:val="22"/>
              </w:rPr>
              <w:t>Experience of being designated teacher for Child Protection</w:t>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00B51DDF" w:rsidR="00DA4638" w:rsidRDefault="00DA4638" w:rsidP="00DA4638">
            <w:pPr>
              <w:pStyle w:val="ListParagraph"/>
              <w:numPr>
                <w:ilvl w:val="0"/>
                <w:numId w:val="16"/>
              </w:numPr>
              <w:ind w:left="335" w:hanging="284"/>
              <w:rPr>
                <w:sz w:val="22"/>
              </w:rPr>
            </w:pPr>
            <w:r>
              <w:rPr>
                <w:sz w:val="22"/>
              </w:rPr>
              <w:t xml:space="preserve">Curriculum </w:t>
            </w:r>
            <w:r w:rsidR="008519D4">
              <w:rPr>
                <w:sz w:val="22"/>
              </w:rPr>
              <w:t>leadership</w:t>
            </w:r>
            <w:r>
              <w:rPr>
                <w:sz w:val="22"/>
              </w:rPr>
              <w:t xml:space="preserve"> that has resulted in successful change and effective practice</w:t>
            </w:r>
          </w:p>
          <w:p w14:paraId="38399761" w14:textId="77777777"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p w14:paraId="54E7878D" w14:textId="6C7545E9" w:rsidR="008519D4" w:rsidRDefault="008519D4" w:rsidP="00D3161B">
            <w:pPr>
              <w:pStyle w:val="ListParagraph"/>
              <w:ind w:left="335"/>
              <w:rPr>
                <w:sz w:val="22"/>
              </w:rPr>
            </w:pPr>
            <w:bookmarkStart w:id="4" w:name="_GoBack"/>
            <w:bookmarkEnd w:id="4"/>
          </w:p>
        </w:tc>
        <w:tc>
          <w:tcPr>
            <w:tcW w:w="2410" w:type="dxa"/>
          </w:tcPr>
          <w:p w14:paraId="514800E4" w14:textId="75642FEA" w:rsidR="00DA4638" w:rsidRDefault="00DA4638" w:rsidP="000A23DB">
            <w:pPr>
              <w:pStyle w:val="ListParagraph"/>
              <w:numPr>
                <w:ilvl w:val="0"/>
                <w:numId w:val="5"/>
              </w:numPr>
              <w:rPr>
                <w:sz w:val="22"/>
              </w:rPr>
            </w:pPr>
            <w:r>
              <w:rPr>
                <w:sz w:val="22"/>
              </w:rPr>
              <w:t>Significant contribution and evidence of impact to the  professional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0890D5E0" w:rsidR="00DA4638" w:rsidRDefault="00DA4638" w:rsidP="000A23DB">
            <w:pPr>
              <w:pStyle w:val="ListParagraph"/>
              <w:numPr>
                <w:ilvl w:val="0"/>
                <w:numId w:val="5"/>
              </w:numPr>
              <w:ind w:left="335" w:hanging="284"/>
              <w:rPr>
                <w:sz w:val="22"/>
              </w:rPr>
            </w:pPr>
            <w:r>
              <w:rPr>
                <w:sz w:val="22"/>
              </w:rPr>
              <w:t>Proven leadership skills</w:t>
            </w:r>
            <w:r w:rsidR="008519D4">
              <w:rPr>
                <w:sz w:val="22"/>
              </w:rPr>
              <w:t xml:space="preserve"> demonstrating impact</w:t>
            </w:r>
          </w:p>
          <w:p w14:paraId="5D337A39" w14:textId="22724AAF" w:rsidR="00896B8C" w:rsidRDefault="00896B8C" w:rsidP="000A23DB">
            <w:pPr>
              <w:pStyle w:val="ListParagraph"/>
              <w:numPr>
                <w:ilvl w:val="0"/>
                <w:numId w:val="5"/>
              </w:numPr>
              <w:ind w:left="335" w:hanging="284"/>
              <w:rPr>
                <w:sz w:val="22"/>
              </w:rPr>
            </w:pPr>
            <w:r>
              <w:rPr>
                <w:sz w:val="22"/>
              </w:rPr>
              <w:t xml:space="preserve">Ability to promote an ethos within which all staff are motivated and supported to develop their own skills and </w:t>
            </w:r>
            <w:r>
              <w:rPr>
                <w:sz w:val="22"/>
              </w:rPr>
              <w:lastRenderedPageBreak/>
              <w:t>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711AC1F4"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2A8F9F3C" w14:textId="49264AF0" w:rsidR="008519D4" w:rsidRDefault="008519D4" w:rsidP="000A23DB">
            <w:pPr>
              <w:pStyle w:val="ListParagraph"/>
              <w:numPr>
                <w:ilvl w:val="0"/>
                <w:numId w:val="5"/>
              </w:numPr>
              <w:ind w:left="335" w:hanging="284"/>
              <w:rPr>
                <w:sz w:val="22"/>
              </w:rPr>
            </w:pPr>
            <w:r>
              <w:rPr>
                <w:sz w:val="22"/>
              </w:rPr>
              <w:t>Ability to promote positive behaviour from all pupils, ensuring high standards of behaviour management, good relationships and pastoral care</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6ADE6FEF" w14:textId="77777777" w:rsidR="00DA4638" w:rsidRDefault="00E2735A" w:rsidP="00A81561">
            <w:pPr>
              <w:pStyle w:val="ListParagraph"/>
              <w:numPr>
                <w:ilvl w:val="0"/>
                <w:numId w:val="5"/>
              </w:numPr>
              <w:rPr>
                <w:sz w:val="22"/>
              </w:rPr>
            </w:pPr>
            <w:r>
              <w:rPr>
                <w:sz w:val="22"/>
              </w:rPr>
              <w:t>Knowledge of administrative procedures</w:t>
            </w:r>
          </w:p>
          <w:p w14:paraId="48F4CD6E" w14:textId="48F81A6E" w:rsidR="008519D4" w:rsidRPr="00B1603A" w:rsidRDefault="008519D4" w:rsidP="00A81561">
            <w:pPr>
              <w:pStyle w:val="ListParagraph"/>
              <w:numPr>
                <w:ilvl w:val="0"/>
                <w:numId w:val="5"/>
              </w:numPr>
              <w:rPr>
                <w:sz w:val="22"/>
              </w:rPr>
            </w:pPr>
            <w:r>
              <w:rPr>
                <w:sz w:val="22"/>
              </w:rPr>
              <w:t xml:space="preserve">Experience or understanding of </w:t>
            </w:r>
            <w:r>
              <w:rPr>
                <w:sz w:val="22"/>
              </w:rPr>
              <w:lastRenderedPageBreak/>
              <w:t>Pre-school provision</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lastRenderedPageBreak/>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24CCA1DB" w14:textId="77777777" w:rsidR="00E2735A"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p w14:paraId="02E125E9" w14:textId="79E2E38F" w:rsidR="008519D4" w:rsidRPr="00DA22C5" w:rsidRDefault="008519D4" w:rsidP="00896B8C">
            <w:pPr>
              <w:pStyle w:val="ListParagraph"/>
              <w:numPr>
                <w:ilvl w:val="0"/>
                <w:numId w:val="12"/>
              </w:numPr>
              <w:ind w:left="335" w:hanging="284"/>
              <w:rPr>
                <w:sz w:val="22"/>
              </w:rPr>
            </w:pPr>
            <w:r>
              <w:rPr>
                <w:sz w:val="22"/>
              </w:rPr>
              <w:t>Demonstrate high standards of professionalism</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D34A2"/>
    <w:rsid w:val="007E2246"/>
    <w:rsid w:val="007E237C"/>
    <w:rsid w:val="007E5605"/>
    <w:rsid w:val="00801822"/>
    <w:rsid w:val="008173FF"/>
    <w:rsid w:val="008177B2"/>
    <w:rsid w:val="00820B53"/>
    <w:rsid w:val="0082152B"/>
    <w:rsid w:val="00827436"/>
    <w:rsid w:val="00832B06"/>
    <w:rsid w:val="00832DF7"/>
    <w:rsid w:val="008332DD"/>
    <w:rsid w:val="0083564B"/>
    <w:rsid w:val="008519D4"/>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161B"/>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EF2F48"/>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BD9EFE"/>
  <w15:docId w15:val="{AA1EB648-245B-4375-848A-DD5762F8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9647F040-A9E8-4664-B360-DD69619B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9550</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Philip Chater</cp:lastModifiedBy>
  <cp:revision>3</cp:revision>
  <cp:lastPrinted>2018-10-04T07:49:00Z</cp:lastPrinted>
  <dcterms:created xsi:type="dcterms:W3CDTF">2018-10-01T12:54:00Z</dcterms:created>
  <dcterms:modified xsi:type="dcterms:W3CDTF">2018-10-04T07:49:00Z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