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4C7F03">
        <w:rPr>
          <w:rFonts w:ascii="Arial" w:eastAsia="Times New Roman" w:hAnsi="Arial" w:cs="Arial"/>
          <w:bCs/>
        </w:rPr>
        <w:t xml:space="preserve">Enhanced </w:t>
      </w:r>
      <w:r w:rsidRPr="00266FAF">
        <w:rPr>
          <w:rFonts w:ascii="Arial" w:eastAsia="Times New Roman" w:hAnsi="Arial" w:cs="Arial"/>
          <w:bCs/>
        </w:rPr>
        <w:t>Social Work</w:t>
      </w:r>
      <w:r w:rsidR="004C7F03">
        <w:rPr>
          <w:rFonts w:ascii="Arial" w:eastAsia="Times New Roman" w:hAnsi="Arial" w:cs="Arial"/>
          <w:bCs/>
        </w:rPr>
        <w:t xml:space="preserve"> Practitioner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5D3B45" w:rsidRDefault="00BB459C" w:rsidP="005D3B45">
      <w:pPr>
        <w:pStyle w:val="ListParagraph"/>
        <w:numPr>
          <w:ilvl w:val="0"/>
          <w:numId w:val="29"/>
        </w:numPr>
        <w:tabs>
          <w:tab w:val="left" w:pos="709"/>
        </w:tabs>
        <w:spacing w:after="0" w:line="240" w:lineRule="auto"/>
        <w:ind w:left="3600" w:hanging="3600"/>
        <w:rPr>
          <w:rFonts w:ascii="Arial" w:eastAsia="Times New Roman" w:hAnsi="Arial" w:cs="Arial"/>
          <w:bCs/>
        </w:rPr>
      </w:pPr>
      <w:r w:rsidRPr="005D3B45">
        <w:rPr>
          <w:rFonts w:ascii="Arial" w:eastAsia="Times New Roman" w:hAnsi="Arial" w:cs="Arial"/>
          <w:b/>
          <w:bCs/>
        </w:rPr>
        <w:t>GRADE:</w:t>
      </w:r>
      <w:r w:rsidRPr="005D3B45">
        <w:rPr>
          <w:rFonts w:ascii="Arial" w:eastAsia="Times New Roman" w:hAnsi="Arial" w:cs="Arial"/>
          <w:b/>
          <w:bCs/>
        </w:rPr>
        <w:tab/>
      </w:r>
      <w:r w:rsidR="005D3B45">
        <w:rPr>
          <w:rFonts w:ascii="Arial" w:eastAsia="Times New Roman" w:hAnsi="Arial" w:cs="Arial"/>
          <w:bCs/>
        </w:rPr>
        <w:t>Grade 12</w:t>
      </w:r>
      <w:r w:rsidRPr="005D3B45">
        <w:rPr>
          <w:rFonts w:ascii="Arial" w:eastAsia="Times New Roman" w:hAnsi="Arial" w:cs="Arial"/>
          <w:bCs/>
        </w:rPr>
        <w:t xml:space="preserve"> (Plus £2,500 temporary recruitment/retention allowance in Families First Teams) </w:t>
      </w: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r w:rsidR="00DB05D8">
        <w:rPr>
          <w:rFonts w:ascii="Arial" w:eastAsia="Times New Roman" w:hAnsi="Arial" w:cs="Arial"/>
          <w:bCs/>
        </w:rPr>
        <w:t xml:space="preserve"> </w:t>
      </w:r>
      <w:r w:rsidR="00DB05D8" w:rsidRPr="00DB05D8">
        <w:rPr>
          <w:rFonts w:ascii="Arial" w:eastAsia="Times New Roman" w:hAnsi="Arial" w:cs="Arial"/>
          <w:bCs/>
        </w:rPr>
        <w:t>N10183</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DB05D8" w:rsidP="00DB05D8">
      <w:pPr>
        <w:pStyle w:val="ListParagraph"/>
        <w:numPr>
          <w:ilvl w:val="0"/>
          <w:numId w:val="29"/>
        </w:numPr>
        <w:tabs>
          <w:tab w:val="left" w:pos="709"/>
        </w:tabs>
        <w:spacing w:after="0" w:line="240" w:lineRule="auto"/>
        <w:ind w:left="3544" w:hanging="3544"/>
        <w:rPr>
          <w:rFonts w:ascii="Arial" w:eastAsia="Times New Roman" w:hAnsi="Arial" w:cs="Arial"/>
          <w:b/>
          <w:bCs/>
        </w:rPr>
      </w:pPr>
      <w:r>
        <w:rPr>
          <w:rFonts w:ascii="Arial" w:eastAsia="Times New Roman" w:hAnsi="Arial" w:cs="Arial"/>
          <w:b/>
          <w:bCs/>
        </w:rPr>
        <w:t>LOCATION:</w:t>
      </w:r>
      <w:r>
        <w:rPr>
          <w:rFonts w:ascii="Arial" w:eastAsia="Times New Roman" w:hAnsi="Arial" w:cs="Arial"/>
          <w:b/>
          <w:bCs/>
        </w:rPr>
        <w:tab/>
      </w:r>
      <w:r>
        <w:rPr>
          <w:rFonts w:ascii="Arial" w:eastAsia="Times New Roman" w:hAnsi="Arial" w:cs="Arial"/>
          <w:bCs/>
        </w:rPr>
        <w:t xml:space="preserve">The post will be peripatetic, moving with the newly qualified social workers it supports to meet the needs of the Service. </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5D3B45">
        <w:rPr>
          <w:rFonts w:ascii="Arial" w:eastAsia="Times New Roman" w:hAnsi="Arial" w:cs="Arial"/>
        </w:rPr>
        <w:t>Children’s Services</w:t>
      </w:r>
      <w:r w:rsidR="00671720">
        <w:rPr>
          <w:rFonts w:ascii="Arial" w:eastAsia="Times New Roman" w:hAnsi="Arial" w:cs="Arial"/>
        </w:rPr>
        <w:t xml:space="preserve">.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5D3B45" w:rsidRDefault="005D3B45" w:rsidP="001330A0">
      <w:pPr>
        <w:pStyle w:val="ListParagraph"/>
        <w:spacing w:after="0" w:line="240" w:lineRule="auto"/>
        <w:rPr>
          <w:rFonts w:ascii="Arial" w:eastAsia="Times New Roman" w:hAnsi="Arial" w:cs="Arial"/>
        </w:rPr>
      </w:pPr>
    </w:p>
    <w:p w:rsidR="005D3B45" w:rsidRDefault="005D3B45" w:rsidP="00CE34BD">
      <w:pPr>
        <w:shd w:val="clear" w:color="auto" w:fill="FFFFFF"/>
        <w:spacing w:after="0" w:line="240" w:lineRule="auto"/>
        <w:ind w:left="709"/>
        <w:rPr>
          <w:rFonts w:ascii="Arial" w:eastAsia="Times New Roman" w:hAnsi="Arial" w:cs="Arial"/>
        </w:rPr>
      </w:pPr>
      <w:r>
        <w:rPr>
          <w:rFonts w:ascii="Arial" w:eastAsia="Times New Roman" w:hAnsi="Arial" w:cs="Arial"/>
        </w:rPr>
        <w:t xml:space="preserve">The </w:t>
      </w:r>
      <w:r w:rsidR="004C7F03">
        <w:rPr>
          <w:rFonts w:ascii="Arial" w:eastAsia="Times New Roman" w:hAnsi="Arial" w:cs="Arial"/>
          <w:bCs/>
        </w:rPr>
        <w:t xml:space="preserve">Enhanced </w:t>
      </w:r>
      <w:r w:rsidR="004C7F03" w:rsidRPr="00266FAF">
        <w:rPr>
          <w:rFonts w:ascii="Arial" w:eastAsia="Times New Roman" w:hAnsi="Arial" w:cs="Arial"/>
          <w:bCs/>
        </w:rPr>
        <w:t>Social Work</w:t>
      </w:r>
      <w:r w:rsidR="004C7F03">
        <w:rPr>
          <w:rFonts w:ascii="Arial" w:eastAsia="Times New Roman" w:hAnsi="Arial" w:cs="Arial"/>
          <w:bCs/>
        </w:rPr>
        <w:t xml:space="preserve"> Practitioner </w:t>
      </w:r>
      <w:r w:rsidR="00CE34BD">
        <w:rPr>
          <w:rFonts w:ascii="Arial" w:eastAsia="Times New Roman" w:hAnsi="Arial" w:cs="Arial"/>
        </w:rPr>
        <w:t>will play</w:t>
      </w:r>
      <w:r>
        <w:rPr>
          <w:rFonts w:ascii="Arial" w:eastAsia="Times New Roman" w:hAnsi="Arial" w:cs="Arial"/>
        </w:rPr>
        <w:t xml:space="preserve"> a really important role in supporting two Newly Qualified Social Workers </w:t>
      </w:r>
      <w:r w:rsidR="00CE34BD">
        <w:rPr>
          <w:rFonts w:ascii="Arial" w:eastAsia="Times New Roman" w:hAnsi="Arial" w:cs="Arial"/>
        </w:rPr>
        <w:t xml:space="preserve">(NQSWs) </w:t>
      </w:r>
      <w:r>
        <w:rPr>
          <w:rFonts w:ascii="Arial" w:eastAsia="Times New Roman" w:hAnsi="Arial" w:cs="Arial"/>
        </w:rPr>
        <w:t xml:space="preserve">within </w:t>
      </w:r>
      <w:r w:rsidR="00CE34BD">
        <w:rPr>
          <w:rFonts w:ascii="Arial" w:eastAsia="Times New Roman" w:hAnsi="Arial" w:cs="Arial"/>
        </w:rPr>
        <w:t>a social work</w:t>
      </w:r>
      <w:r>
        <w:rPr>
          <w:rFonts w:ascii="Arial" w:eastAsia="Times New Roman" w:hAnsi="Arial" w:cs="Arial"/>
        </w:rPr>
        <w:t xml:space="preserve"> team. </w:t>
      </w:r>
      <w:r w:rsidR="00CE34BD">
        <w:rPr>
          <w:rFonts w:ascii="Arial" w:eastAsia="Times New Roman" w:hAnsi="Arial" w:cs="Arial"/>
        </w:rPr>
        <w:t xml:space="preserve">They will </w:t>
      </w:r>
      <w:r w:rsidR="00CE34BD" w:rsidRPr="002640C9">
        <w:rPr>
          <w:rFonts w:ascii="Arial" w:hAnsi="Arial"/>
          <w:color w:val="000000"/>
          <w:lang w:val="en-US"/>
        </w:rPr>
        <w:t>consistently model good and outstanding social work practice and skill</w:t>
      </w:r>
      <w:r w:rsidR="00CE34BD">
        <w:rPr>
          <w:rFonts w:ascii="Arial" w:hAnsi="Arial"/>
          <w:color w:val="000000"/>
          <w:lang w:val="en-US"/>
        </w:rPr>
        <w:t xml:space="preserve">, and provide </w:t>
      </w:r>
      <w:r w:rsidR="00CE34BD" w:rsidRPr="002640C9">
        <w:rPr>
          <w:rFonts w:ascii="Arial" w:hAnsi="Arial"/>
          <w:color w:val="000000"/>
          <w:lang w:val="en-US"/>
        </w:rPr>
        <w:t xml:space="preserve">ongoing support and guidance to </w:t>
      </w:r>
      <w:r w:rsidR="00685A64">
        <w:rPr>
          <w:rFonts w:ascii="Arial" w:hAnsi="Arial"/>
          <w:color w:val="000000"/>
          <w:lang w:val="en-US"/>
        </w:rPr>
        <w:t xml:space="preserve">the </w:t>
      </w:r>
      <w:r w:rsidR="00CE34BD">
        <w:rPr>
          <w:rFonts w:ascii="Arial" w:hAnsi="Arial"/>
          <w:color w:val="000000"/>
          <w:lang w:val="en-US"/>
        </w:rPr>
        <w:t>NQSWs on their cases</w:t>
      </w:r>
      <w:r w:rsidR="00CE34BD" w:rsidRPr="002640C9">
        <w:rPr>
          <w:rFonts w:ascii="Arial" w:hAnsi="Arial"/>
          <w:color w:val="000000"/>
          <w:lang w:val="en-US"/>
        </w:rPr>
        <w:t xml:space="preserve">. </w:t>
      </w:r>
      <w:r w:rsidR="00CE34BD">
        <w:rPr>
          <w:rFonts w:ascii="Arial" w:hAnsi="Arial"/>
          <w:color w:val="000000"/>
          <w:lang w:val="en-US"/>
        </w:rPr>
        <w:t xml:space="preserve">They will also work closely with the </w:t>
      </w:r>
      <w:r w:rsidR="00CE34BD">
        <w:rPr>
          <w:rFonts w:ascii="Arial" w:eastAsia="Times New Roman" w:hAnsi="Arial" w:cs="Arial"/>
        </w:rPr>
        <w:t xml:space="preserve">Practice Leads in the Social Work Academy and the Team Manager to ensure that the NQSWs have appropriate caseloads in terms of number and complexity, and that their </w:t>
      </w:r>
      <w:r w:rsidR="00685A64">
        <w:rPr>
          <w:rFonts w:ascii="Arial" w:eastAsia="Times New Roman" w:hAnsi="Arial" w:cs="Arial"/>
        </w:rPr>
        <w:t>Assessed and Supported Year in Employment (ASYE) progresses well</w:t>
      </w:r>
      <w:r w:rsidR="00CE34BD">
        <w:rPr>
          <w:rFonts w:ascii="Arial" w:eastAsia="Times New Roman" w:hAnsi="Arial" w:cs="Arial"/>
        </w:rPr>
        <w:t xml:space="preserve">. </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2B1BBB">
        <w:rPr>
          <w:rFonts w:ascii="Arial" w:eastAsia="Times New Roman" w:hAnsi="Arial" w:cs="Arial"/>
        </w:rPr>
        <w:t xml:space="preserve">expectations of an Enhanced Social Work Practitioner </w:t>
      </w:r>
      <w:r w:rsidR="00DF3D7C">
        <w:rPr>
          <w:rFonts w:ascii="Arial" w:eastAsia="Times New Roman" w:hAnsi="Arial" w:cs="Arial"/>
        </w:rPr>
        <w:t xml:space="preserve">in Children’s Services. These </w:t>
      </w:r>
      <w:r w:rsidR="006D6BA6">
        <w:rPr>
          <w:rFonts w:ascii="Arial" w:eastAsia="Times New Roman" w:hAnsi="Arial" w:cs="Arial"/>
        </w:rPr>
        <w:t>link to the K</w:t>
      </w:r>
      <w:r w:rsidR="00DF3D7C">
        <w:rPr>
          <w:rFonts w:ascii="Arial" w:eastAsia="Times New Roman" w:hAnsi="Arial" w:cs="Arial"/>
        </w:rPr>
        <w:t>nowledge and Skills Statement</w:t>
      </w:r>
      <w:r w:rsidR="00CE34BD">
        <w:rPr>
          <w:rFonts w:ascii="Arial" w:eastAsia="Times New Roman" w:hAnsi="Arial" w:cs="Arial"/>
        </w:rPr>
        <w:t>s</w:t>
      </w:r>
      <w:r w:rsidR="00DF3D7C">
        <w:rPr>
          <w:rFonts w:ascii="Arial" w:eastAsia="Times New Roman" w:hAnsi="Arial" w:cs="Arial"/>
        </w:rPr>
        <w:t xml:space="preserve"> for Child and Family Social Work. </w:t>
      </w:r>
    </w:p>
    <w:p w:rsidR="00CE34BD" w:rsidRDefault="00CE34BD" w:rsidP="00CE34BD">
      <w:pPr>
        <w:spacing w:after="0" w:line="240" w:lineRule="auto"/>
        <w:ind w:left="1440" w:hanging="731"/>
        <w:rPr>
          <w:rFonts w:ascii="Arial" w:hAnsi="Arial"/>
        </w:rPr>
      </w:pPr>
    </w:p>
    <w:p w:rsidR="00CE34BD" w:rsidRDefault="00685A64" w:rsidP="00685A64">
      <w:pPr>
        <w:pStyle w:val="ListParagraph"/>
        <w:numPr>
          <w:ilvl w:val="1"/>
          <w:numId w:val="30"/>
        </w:numPr>
        <w:spacing w:after="0" w:line="240" w:lineRule="auto"/>
        <w:ind w:hanging="11"/>
        <w:rPr>
          <w:rFonts w:ascii="Arial" w:hAnsi="Arial"/>
        </w:rPr>
      </w:pPr>
      <w:r w:rsidRPr="00685A64">
        <w:rPr>
          <w:rFonts w:ascii="Arial" w:hAnsi="Arial"/>
        </w:rPr>
        <w:t>Support 2 NQSWs working towards their ASYE:</w:t>
      </w:r>
    </w:p>
    <w:p w:rsidR="00685A64" w:rsidRPr="00685A64" w:rsidRDefault="00685A64" w:rsidP="00685A64">
      <w:pPr>
        <w:pStyle w:val="ListParagraph"/>
        <w:spacing w:after="0" w:line="240" w:lineRule="auto"/>
        <w:rPr>
          <w:rFonts w:ascii="Arial" w:hAnsi="Arial"/>
        </w:rPr>
      </w:pPr>
    </w:p>
    <w:p w:rsidR="00685A64" w:rsidRPr="00685A64" w:rsidRDefault="00685A64" w:rsidP="00685A64">
      <w:pPr>
        <w:pStyle w:val="ListParagraph"/>
        <w:numPr>
          <w:ilvl w:val="0"/>
          <w:numId w:val="50"/>
        </w:numPr>
        <w:shd w:val="clear" w:color="auto" w:fill="FFFFFF"/>
        <w:spacing w:after="0" w:line="240" w:lineRule="auto"/>
        <w:ind w:left="1985" w:hanging="567"/>
        <w:rPr>
          <w:rFonts w:ascii="Arial" w:eastAsia="Times New Roman" w:hAnsi="Arial" w:cs="Arial"/>
        </w:rPr>
      </w:pPr>
      <w:r>
        <w:rPr>
          <w:rFonts w:ascii="Arial" w:eastAsia="Times New Roman" w:hAnsi="Arial" w:cs="Arial"/>
        </w:rPr>
        <w:t xml:space="preserve">Provide support to the NQSWs to help them build their confidence. </w:t>
      </w:r>
    </w:p>
    <w:p w:rsidR="00685A64" w:rsidRPr="00685A64" w:rsidRDefault="00685A64" w:rsidP="00685A64">
      <w:pPr>
        <w:pStyle w:val="ListParagraph"/>
        <w:numPr>
          <w:ilvl w:val="0"/>
          <w:numId w:val="50"/>
        </w:numPr>
        <w:shd w:val="clear" w:color="auto" w:fill="FFFFFF"/>
        <w:spacing w:after="0" w:line="240" w:lineRule="auto"/>
        <w:ind w:left="1985" w:hanging="567"/>
        <w:rPr>
          <w:rFonts w:ascii="Arial" w:eastAsia="Times New Roman" w:hAnsi="Arial" w:cs="Arial"/>
        </w:rPr>
      </w:pPr>
      <w:r w:rsidRPr="002640C9">
        <w:rPr>
          <w:rFonts w:ascii="Arial" w:hAnsi="Arial"/>
          <w:color w:val="000000"/>
          <w:lang w:val="en-US"/>
        </w:rPr>
        <w:t xml:space="preserve">Lead weekly meetings which: incorporate thinking </w:t>
      </w:r>
      <w:r>
        <w:rPr>
          <w:rFonts w:ascii="Arial" w:hAnsi="Arial"/>
          <w:color w:val="000000"/>
          <w:lang w:val="en-US"/>
        </w:rPr>
        <w:t xml:space="preserve">using the Signs of Safety model </w:t>
      </w:r>
      <w:r w:rsidRPr="002640C9">
        <w:rPr>
          <w:rFonts w:ascii="Arial" w:hAnsi="Arial"/>
          <w:color w:val="000000"/>
          <w:lang w:val="en-US"/>
        </w:rPr>
        <w:t xml:space="preserve">about </w:t>
      </w:r>
      <w:r>
        <w:rPr>
          <w:rFonts w:ascii="Arial" w:hAnsi="Arial"/>
          <w:color w:val="000000"/>
          <w:lang w:val="en-US"/>
        </w:rPr>
        <w:t>c</w:t>
      </w:r>
      <w:r w:rsidRPr="002640C9">
        <w:rPr>
          <w:rFonts w:ascii="Arial" w:hAnsi="Arial"/>
          <w:color w:val="000000"/>
          <w:lang w:val="en-US"/>
        </w:rPr>
        <w:t xml:space="preserve">ases, encourage the </w:t>
      </w:r>
      <w:r>
        <w:rPr>
          <w:rFonts w:ascii="Arial" w:hAnsi="Arial"/>
          <w:color w:val="000000"/>
          <w:lang w:val="en-US"/>
        </w:rPr>
        <w:t>NQSWs</w:t>
      </w:r>
      <w:r w:rsidRPr="002640C9">
        <w:rPr>
          <w:rFonts w:ascii="Arial" w:hAnsi="Arial"/>
          <w:color w:val="000000"/>
          <w:lang w:val="en-US"/>
        </w:rPr>
        <w:t xml:space="preserve"> to hold multiple hypotheses, encourage peer challenge and critical reflection in decision making.</w:t>
      </w:r>
    </w:p>
    <w:p w:rsidR="00685A64" w:rsidRPr="00685A64" w:rsidRDefault="00685A64" w:rsidP="00685A64">
      <w:pPr>
        <w:pStyle w:val="ListParagraph"/>
        <w:numPr>
          <w:ilvl w:val="0"/>
          <w:numId w:val="50"/>
        </w:numPr>
        <w:shd w:val="clear" w:color="auto" w:fill="FFFFFF"/>
        <w:spacing w:after="0" w:line="240" w:lineRule="auto"/>
        <w:ind w:left="1985" w:hanging="567"/>
        <w:rPr>
          <w:rFonts w:ascii="Arial" w:eastAsia="Times New Roman" w:hAnsi="Arial" w:cs="Arial"/>
        </w:rPr>
      </w:pPr>
      <w:r w:rsidRPr="00685A64">
        <w:rPr>
          <w:rFonts w:ascii="Arial" w:hAnsi="Arial"/>
          <w:color w:val="000000"/>
          <w:lang w:val="en-US"/>
        </w:rPr>
        <w:t xml:space="preserve">Provide ongoing support and guidance to </w:t>
      </w:r>
      <w:r>
        <w:rPr>
          <w:rFonts w:ascii="Arial" w:hAnsi="Arial"/>
          <w:color w:val="000000"/>
          <w:lang w:val="en-US"/>
        </w:rPr>
        <w:t xml:space="preserve">the </w:t>
      </w:r>
      <w:r w:rsidRPr="00685A64">
        <w:rPr>
          <w:rFonts w:ascii="Arial" w:hAnsi="Arial"/>
          <w:color w:val="000000"/>
          <w:lang w:val="en-US"/>
        </w:rPr>
        <w:t>NQSWs on their cases</w:t>
      </w:r>
      <w:r>
        <w:rPr>
          <w:rFonts w:ascii="Arial" w:hAnsi="Arial"/>
          <w:color w:val="000000"/>
          <w:lang w:val="en-US"/>
        </w:rPr>
        <w:t>, co-working more complex cases</w:t>
      </w:r>
      <w:r w:rsidRPr="00685A64">
        <w:rPr>
          <w:rFonts w:ascii="Arial" w:hAnsi="Arial"/>
          <w:color w:val="000000"/>
          <w:lang w:val="en-US"/>
        </w:rPr>
        <w:t xml:space="preserve">. </w:t>
      </w:r>
    </w:p>
    <w:p w:rsidR="00685A64" w:rsidRPr="00685A64" w:rsidRDefault="00685A64" w:rsidP="00685A64">
      <w:pPr>
        <w:pStyle w:val="ListParagraph"/>
        <w:numPr>
          <w:ilvl w:val="0"/>
          <w:numId w:val="50"/>
        </w:numPr>
        <w:shd w:val="clear" w:color="auto" w:fill="FFFFFF"/>
        <w:spacing w:after="0" w:line="240" w:lineRule="auto"/>
        <w:ind w:left="1985" w:hanging="567"/>
        <w:rPr>
          <w:rFonts w:ascii="Arial" w:eastAsia="Times New Roman" w:hAnsi="Arial" w:cs="Arial"/>
        </w:rPr>
      </w:pPr>
      <w:r>
        <w:rPr>
          <w:rFonts w:ascii="Arial" w:hAnsi="Arial"/>
          <w:color w:val="000000"/>
          <w:lang w:val="en-US"/>
        </w:rPr>
        <w:t>W</w:t>
      </w:r>
      <w:r w:rsidRPr="00685A64">
        <w:rPr>
          <w:rFonts w:ascii="Arial" w:hAnsi="Arial"/>
          <w:color w:val="000000"/>
          <w:lang w:val="en-US"/>
        </w:rPr>
        <w:t xml:space="preserve">ork closely with the </w:t>
      </w:r>
      <w:r w:rsidRPr="00685A64">
        <w:rPr>
          <w:rFonts w:ascii="Arial" w:eastAsia="Times New Roman" w:hAnsi="Arial" w:cs="Arial"/>
        </w:rPr>
        <w:t>Practice Leads in the Social Work Academy and the Team Manager to ensure that the NQSWs have appropriate caseloads in terms of number and complexity</w:t>
      </w:r>
      <w:r>
        <w:rPr>
          <w:rFonts w:ascii="Arial" w:eastAsia="Times New Roman" w:hAnsi="Arial" w:cs="Arial"/>
        </w:rPr>
        <w:t xml:space="preserve">, </w:t>
      </w:r>
      <w:r w:rsidRPr="00685A64">
        <w:rPr>
          <w:rFonts w:ascii="Arial" w:eastAsia="Times New Roman" w:hAnsi="Arial" w:cs="Arial"/>
        </w:rPr>
        <w:t xml:space="preserve">and that their Assessed and Supported Year in Employment (ASYE) progresses well. </w:t>
      </w:r>
    </w:p>
    <w:p w:rsidR="00685A64" w:rsidRPr="00685A64" w:rsidRDefault="00685A64" w:rsidP="00685A64">
      <w:pPr>
        <w:pStyle w:val="ListParagraph"/>
        <w:spacing w:after="0" w:line="240" w:lineRule="auto"/>
        <w:ind w:left="1440"/>
        <w:rPr>
          <w:rFonts w:ascii="Arial" w:hAnsi="Arial"/>
        </w:rPr>
      </w:pPr>
    </w:p>
    <w:p w:rsidR="00CE34BD" w:rsidRDefault="00CE34BD" w:rsidP="00CE34BD">
      <w:pPr>
        <w:spacing w:after="0" w:line="240" w:lineRule="auto"/>
        <w:ind w:left="1440" w:hanging="731"/>
        <w:rPr>
          <w:rFonts w:ascii="Arial" w:hAnsi="Arial"/>
        </w:rPr>
      </w:pPr>
    </w:p>
    <w:p w:rsidR="00CE34BD" w:rsidRDefault="00CE34BD" w:rsidP="00CE34BD">
      <w:pPr>
        <w:spacing w:after="0" w:line="240" w:lineRule="auto"/>
        <w:ind w:left="1440" w:hanging="731"/>
        <w:rPr>
          <w:rFonts w:ascii="Arial" w:hAnsi="Arial"/>
        </w:rPr>
      </w:pPr>
    </w:p>
    <w:p w:rsidR="005C089E" w:rsidRPr="005C089E" w:rsidRDefault="005C089E" w:rsidP="00CE34BD">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CE34BD">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CE34BD" w:rsidRDefault="00CE34BD"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685A64" w:rsidRDefault="00685A64" w:rsidP="00685A64">
      <w:pPr>
        <w:pStyle w:val="Default"/>
        <w:rPr>
          <w:rFonts w:eastAsia="Times New Roman"/>
          <w:color w:val="auto"/>
          <w:sz w:val="22"/>
          <w:szCs w:val="22"/>
        </w:rPr>
      </w:pP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Social workers working in Families First</w:t>
      </w:r>
      <w:r w:rsidR="009769AC">
        <w:rPr>
          <w:rFonts w:eastAsia="Times New Roman"/>
          <w:color w:val="auto"/>
          <w:sz w:val="22"/>
          <w:szCs w:val="22"/>
        </w:rPr>
        <w:t>,</w:t>
      </w:r>
      <w:r w:rsidRPr="00597BAF">
        <w:rPr>
          <w:rFonts w:eastAsia="Times New Roman"/>
          <w:color w:val="auto"/>
          <w:sz w:val="22"/>
          <w:szCs w:val="22"/>
        </w:rPr>
        <w:t xml:space="preserve"> </w:t>
      </w:r>
      <w:r w:rsidR="009769AC" w:rsidRPr="00597BAF">
        <w:rPr>
          <w:rFonts w:eastAsia="Times New Roman"/>
          <w:color w:val="auto"/>
          <w:sz w:val="22"/>
          <w:szCs w:val="22"/>
        </w:rPr>
        <w:t>Disability services</w:t>
      </w:r>
      <w:r w:rsidR="009769AC" w:rsidRPr="00597BAF">
        <w:rPr>
          <w:rFonts w:eastAsia="Times New Roman"/>
          <w:color w:val="auto"/>
          <w:sz w:val="22"/>
          <w:szCs w:val="22"/>
        </w:rPr>
        <w:t xml:space="preserve"> </w:t>
      </w:r>
      <w:r w:rsidRPr="00597BAF">
        <w:rPr>
          <w:rFonts w:eastAsia="Times New Roman"/>
          <w:color w:val="auto"/>
          <w:sz w:val="22"/>
          <w:szCs w:val="22"/>
        </w:rPr>
        <w:t xml:space="preserve">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Use the law, regulatory and statutory guidance to inform practice decisions. Make use of the best evidence from research </w:t>
      </w:r>
      <w:bookmarkStart w:id="0" w:name="_GoBack"/>
      <w:bookmarkEnd w:id="0"/>
      <w:r w:rsidRPr="003367AE">
        <w:rPr>
          <w:rFonts w:eastAsia="Times New Roman"/>
          <w:color w:val="auto"/>
          <w:sz w:val="22"/>
          <w:szCs w:val="22"/>
        </w:rPr>
        <w:t>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CE34BD" w:rsidRDefault="00CE34BD" w:rsidP="00CE34BD">
      <w:pPr>
        <w:ind w:left="1440" w:hanging="731"/>
        <w:rPr>
          <w:rFonts w:ascii="Arial" w:hAnsi="Arial"/>
        </w:rPr>
      </w:pPr>
    </w:p>
    <w:p w:rsidR="00CE34BD" w:rsidRDefault="00CE34BD" w:rsidP="00CE34BD">
      <w:pPr>
        <w:ind w:left="1440" w:hanging="731"/>
        <w:rPr>
          <w:rFonts w:ascii="Arial" w:hAnsi="Arial"/>
        </w:rPr>
      </w:pPr>
    </w:p>
    <w:p w:rsidR="00CE34BD" w:rsidRDefault="00CE34BD" w:rsidP="00CE34BD">
      <w:pPr>
        <w:ind w:left="1440" w:hanging="731"/>
        <w:rPr>
          <w:rFonts w:ascii="Arial" w:hAnsi="Arial"/>
        </w:rPr>
      </w:pP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685A64" w:rsidRDefault="00685A64" w:rsidP="003A5ABE">
      <w:pPr>
        <w:spacing w:after="240" w:line="240" w:lineRule="auto"/>
        <w:ind w:left="720" w:hanging="11"/>
        <w:rPr>
          <w:rFonts w:ascii="Arial" w:eastAsia="Times New Roman" w:hAnsi="Arial" w:cs="Arial"/>
        </w:rPr>
      </w:pPr>
    </w:p>
    <w:p w:rsidR="00685A64" w:rsidRPr="003A5ABE" w:rsidRDefault="00685A64" w:rsidP="003A5ABE">
      <w:pPr>
        <w:spacing w:after="240" w:line="240" w:lineRule="auto"/>
        <w:ind w:left="720" w:hanging="11"/>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lastRenderedPageBreak/>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 xml:space="preserve">Person Specification </w:t>
      </w:r>
      <w:proofErr w:type="gramStart"/>
      <w:r w:rsidRPr="003A5ABE">
        <w:rPr>
          <w:rFonts w:ascii="Arial" w:eastAsia="Times" w:hAnsi="Arial" w:cs="Arial"/>
          <w:b/>
          <w:lang w:eastAsia="en-GB"/>
        </w:rPr>
        <w:t xml:space="preserve">– </w:t>
      </w:r>
      <w:r w:rsidR="00445C6D">
        <w:rPr>
          <w:rFonts w:ascii="Arial" w:eastAsia="Times" w:hAnsi="Arial" w:cs="Arial"/>
          <w:b/>
          <w:lang w:eastAsia="en-GB"/>
        </w:rPr>
        <w:t xml:space="preserve"> Enhanced</w:t>
      </w:r>
      <w:proofErr w:type="gramEnd"/>
      <w:r w:rsidR="00445C6D">
        <w:rPr>
          <w:rFonts w:ascii="Arial" w:eastAsia="Times" w:hAnsi="Arial" w:cs="Arial"/>
          <w:b/>
          <w:lang w:eastAsia="en-GB"/>
        </w:rPr>
        <w:t xml:space="preserve"> Social Work Practitioner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541"/>
        <w:gridCol w:w="5058"/>
        <w:gridCol w:w="3022"/>
      </w:tblGrid>
      <w:tr w:rsidR="003A5ABE" w:rsidRPr="003A5ABE" w:rsidTr="00B360FE">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541"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058"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B360FE">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541"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058" w:type="dxa"/>
          </w:tcPr>
          <w:p w:rsidR="00B360FE" w:rsidRPr="003F100A" w:rsidRDefault="00B360FE" w:rsidP="00B360FE">
            <w:pPr>
              <w:pStyle w:val="ListParagraph"/>
              <w:numPr>
                <w:ilvl w:val="0"/>
                <w:numId w:val="18"/>
              </w:numPr>
              <w:spacing w:after="0" w:line="240" w:lineRule="auto"/>
              <w:rPr>
                <w:rFonts w:ascii="Arial" w:hAnsi="Arial"/>
              </w:rPr>
            </w:pPr>
            <w:r w:rsidRPr="003F100A">
              <w:rPr>
                <w:rFonts w:ascii="Arial" w:hAnsi="Arial"/>
              </w:rPr>
              <w:t>Relevant and accredited management qualification</w:t>
            </w:r>
          </w:p>
          <w:p w:rsidR="00B360FE" w:rsidRPr="003F100A" w:rsidRDefault="00B360FE" w:rsidP="00B360FE">
            <w:pPr>
              <w:numPr>
                <w:ilvl w:val="0"/>
                <w:numId w:val="18"/>
              </w:numPr>
              <w:spacing w:line="240" w:lineRule="auto"/>
              <w:contextualSpacing/>
              <w:rPr>
                <w:rFonts w:ascii="Arial" w:hAnsi="Arial"/>
              </w:rPr>
            </w:pPr>
            <w:r w:rsidRPr="003F100A">
              <w:rPr>
                <w:rFonts w:ascii="Arial" w:hAnsi="Arial"/>
              </w:rPr>
              <w:t>Post qualification modules in social work e.g. Consolidation Module</w:t>
            </w:r>
          </w:p>
          <w:p w:rsidR="003A5ABE" w:rsidRPr="00B360FE" w:rsidRDefault="00B360FE" w:rsidP="00B360FE">
            <w:pPr>
              <w:numPr>
                <w:ilvl w:val="0"/>
                <w:numId w:val="18"/>
              </w:numPr>
              <w:spacing w:line="240" w:lineRule="auto"/>
              <w:contextualSpacing/>
              <w:rPr>
                <w:rFonts w:ascii="Arial" w:hAnsi="Arial"/>
              </w:rPr>
            </w:pPr>
            <w:r w:rsidRPr="003F100A">
              <w:rPr>
                <w:rFonts w:ascii="Arial" w:hAnsi="Arial"/>
              </w:rPr>
              <w:t>Staff development qualification e.g. Practice Educator, Coaching, Mentoring, Certificate in Education</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B360FE">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541" w:type="dxa"/>
            <w:tcBorders>
              <w:left w:val="single" w:sz="4" w:space="0" w:color="auto"/>
            </w:tcBorders>
          </w:tcPr>
          <w:p w:rsidR="00B360FE"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Significant experience of social work with children young people and their families</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Significant experience of identifying and responding to need</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Risk Management</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Using evidence to devise effective interventions</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Explaining and championing high quality practice to practitioners other professionals, children, young people and families</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Building and maintaining respectful partnerships with practitioners and partner agencies</w:t>
            </w:r>
          </w:p>
          <w:p w:rsidR="003A5ABE" w:rsidRPr="00584C22" w:rsidRDefault="00B360FE" w:rsidP="00B360FE">
            <w:pPr>
              <w:pStyle w:val="ListParagraph"/>
              <w:numPr>
                <w:ilvl w:val="0"/>
                <w:numId w:val="24"/>
              </w:numPr>
              <w:spacing w:after="0" w:line="240" w:lineRule="auto"/>
              <w:rPr>
                <w:rFonts w:ascii="Arial" w:eastAsia="Times New Roman" w:hAnsi="Arial" w:cs="Arial"/>
              </w:rPr>
            </w:pPr>
            <w:r w:rsidRPr="00ED1992">
              <w:rPr>
                <w:rFonts w:ascii="Arial" w:hAnsi="Arial"/>
              </w:rPr>
              <w:t xml:space="preserve">Developing innovative practices to improve outcomes for children, </w:t>
            </w:r>
            <w:r>
              <w:rPr>
                <w:rFonts w:ascii="Arial" w:hAnsi="Arial"/>
              </w:rPr>
              <w:t>young people and their families</w:t>
            </w:r>
          </w:p>
        </w:tc>
        <w:tc>
          <w:tcPr>
            <w:tcW w:w="5058" w:type="dxa"/>
          </w:tcPr>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Supporting staff/students to ensure practice achieves the best long term outcomes for children, young people and families</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 xml:space="preserve">Supporting practitioners to make decisions based on evidence, and taking account of the wishes and feelings of children </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Recognising where relationships between professionals are likely to compromise the welfare of families and the safety of children, taking immediate and corrective action</w:t>
            </w:r>
          </w:p>
          <w:p w:rsidR="00B360FE" w:rsidRPr="00ED1992" w:rsidRDefault="00B360FE" w:rsidP="00B360FE">
            <w:pPr>
              <w:pStyle w:val="ListParagraph"/>
              <w:numPr>
                <w:ilvl w:val="0"/>
                <w:numId w:val="24"/>
              </w:numPr>
              <w:spacing w:after="0" w:line="240" w:lineRule="auto"/>
              <w:contextualSpacing w:val="0"/>
              <w:rPr>
                <w:rFonts w:ascii="Arial" w:hAnsi="Arial"/>
              </w:rPr>
            </w:pPr>
            <w:r w:rsidRPr="00ED1992">
              <w:rPr>
                <w:rFonts w:ascii="Arial" w:hAnsi="Arial"/>
              </w:rPr>
              <w:t>Supporting practitioners to achieve quality work</w:t>
            </w:r>
          </w:p>
          <w:p w:rsidR="00FD3DA2" w:rsidRPr="00B360FE" w:rsidRDefault="00FD3DA2" w:rsidP="00B360F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B360FE" w:rsidRPr="003A5ABE" w:rsidTr="00B360FE">
        <w:trPr>
          <w:trHeight w:val="1653"/>
        </w:trPr>
        <w:tc>
          <w:tcPr>
            <w:tcW w:w="2109" w:type="dxa"/>
            <w:tcBorders>
              <w:top w:val="single" w:sz="4" w:space="0" w:color="auto"/>
              <w:left w:val="single" w:sz="4" w:space="0" w:color="auto"/>
              <w:bottom w:val="single" w:sz="4" w:space="0" w:color="auto"/>
              <w:right w:val="single" w:sz="4" w:space="0" w:color="auto"/>
            </w:tcBorders>
          </w:tcPr>
          <w:p w:rsidR="00B360FE" w:rsidRPr="003A5ABE" w:rsidRDefault="00B360FE" w:rsidP="00B360FE">
            <w:pPr>
              <w:spacing w:after="0" w:line="240" w:lineRule="auto"/>
              <w:rPr>
                <w:rFonts w:ascii="Arial" w:eastAsia="Times New Roman" w:hAnsi="Arial" w:cs="Arial"/>
                <w:b/>
              </w:rPr>
            </w:pPr>
            <w:r>
              <w:rPr>
                <w:rFonts w:ascii="Arial" w:eastAsia="Times New Roman" w:hAnsi="Arial" w:cs="Arial"/>
                <w:b/>
              </w:rPr>
              <w:t xml:space="preserve">Knowledge </w:t>
            </w:r>
          </w:p>
        </w:tc>
        <w:tc>
          <w:tcPr>
            <w:tcW w:w="5541" w:type="dxa"/>
            <w:tcBorders>
              <w:left w:val="single" w:sz="4" w:space="0" w:color="auto"/>
            </w:tcBorders>
          </w:tcPr>
          <w:p w:rsidR="00B360FE" w:rsidRPr="003F100A" w:rsidRDefault="00B360FE" w:rsidP="00B360FE">
            <w:pPr>
              <w:pStyle w:val="ListParagraph"/>
              <w:numPr>
                <w:ilvl w:val="0"/>
                <w:numId w:val="48"/>
              </w:numPr>
              <w:spacing w:after="0" w:line="240" w:lineRule="auto"/>
              <w:ind w:left="430" w:hanging="430"/>
              <w:contextualSpacing w:val="0"/>
              <w:rPr>
                <w:rFonts w:ascii="Arial" w:hAnsi="Arial"/>
              </w:rPr>
            </w:pPr>
            <w:r w:rsidRPr="003F100A">
              <w:rPr>
                <w:rFonts w:ascii="Arial" w:hAnsi="Arial"/>
              </w:rPr>
              <w:t xml:space="preserve">Legislation and national </w:t>
            </w:r>
            <w:r>
              <w:rPr>
                <w:rFonts w:ascii="Arial" w:hAnsi="Arial"/>
              </w:rPr>
              <w:t>standards relevant to the post</w:t>
            </w:r>
          </w:p>
          <w:p w:rsidR="00B360FE" w:rsidRPr="003F100A" w:rsidRDefault="00B360FE" w:rsidP="00B360FE">
            <w:pPr>
              <w:pStyle w:val="ListParagraph"/>
              <w:numPr>
                <w:ilvl w:val="0"/>
                <w:numId w:val="48"/>
              </w:numPr>
              <w:spacing w:after="0" w:line="240" w:lineRule="auto"/>
              <w:ind w:left="430" w:hanging="430"/>
              <w:contextualSpacing w:val="0"/>
              <w:rPr>
                <w:rFonts w:ascii="Arial" w:hAnsi="Arial"/>
              </w:rPr>
            </w:pPr>
            <w:r w:rsidRPr="003F100A">
              <w:rPr>
                <w:rFonts w:ascii="Arial" w:hAnsi="Arial"/>
              </w:rPr>
              <w:t>Range of Social Work Theories relevant to the role</w:t>
            </w:r>
          </w:p>
          <w:p w:rsidR="00B360FE" w:rsidRDefault="00B360FE" w:rsidP="00B360FE">
            <w:pPr>
              <w:pStyle w:val="ListParagraph"/>
              <w:numPr>
                <w:ilvl w:val="0"/>
                <w:numId w:val="48"/>
              </w:numPr>
              <w:spacing w:after="0" w:line="240" w:lineRule="auto"/>
              <w:ind w:left="430" w:hanging="430"/>
              <w:contextualSpacing w:val="0"/>
              <w:rPr>
                <w:rFonts w:ascii="Arial" w:hAnsi="Arial"/>
              </w:rPr>
            </w:pPr>
            <w:r w:rsidRPr="003F100A">
              <w:rPr>
                <w:rFonts w:ascii="Arial" w:hAnsi="Arial"/>
              </w:rPr>
              <w:t>Evidence based methods and tools</w:t>
            </w:r>
          </w:p>
          <w:p w:rsidR="00B360FE" w:rsidRPr="003F100A" w:rsidRDefault="00B360FE" w:rsidP="00B360FE">
            <w:pPr>
              <w:pStyle w:val="ListParagraph"/>
              <w:numPr>
                <w:ilvl w:val="0"/>
                <w:numId w:val="48"/>
              </w:numPr>
              <w:spacing w:after="0" w:line="240" w:lineRule="auto"/>
              <w:ind w:left="430" w:hanging="430"/>
              <w:contextualSpacing w:val="0"/>
              <w:rPr>
                <w:rFonts w:ascii="Arial" w:hAnsi="Arial"/>
              </w:rPr>
            </w:pPr>
            <w:r w:rsidRPr="003F100A">
              <w:rPr>
                <w:rFonts w:ascii="Arial" w:hAnsi="Arial"/>
              </w:rPr>
              <w:t>Best practice within national and local contexts</w:t>
            </w:r>
          </w:p>
        </w:tc>
        <w:tc>
          <w:tcPr>
            <w:tcW w:w="5058" w:type="dxa"/>
          </w:tcPr>
          <w:p w:rsidR="00B360FE" w:rsidRDefault="00B360FE" w:rsidP="00B360FE">
            <w:pPr>
              <w:pStyle w:val="ListParagraph"/>
              <w:numPr>
                <w:ilvl w:val="0"/>
                <w:numId w:val="48"/>
              </w:numPr>
              <w:spacing w:after="0" w:line="240" w:lineRule="auto"/>
              <w:ind w:left="318" w:hanging="318"/>
              <w:contextualSpacing w:val="0"/>
              <w:rPr>
                <w:rFonts w:ascii="Arial" w:hAnsi="Arial"/>
              </w:rPr>
            </w:pPr>
            <w:r w:rsidRPr="003F100A">
              <w:rPr>
                <w:rFonts w:ascii="Arial" w:hAnsi="Arial"/>
              </w:rPr>
              <w:t>Understanding of performance management</w:t>
            </w:r>
          </w:p>
          <w:p w:rsidR="00B360FE" w:rsidRPr="003F100A" w:rsidRDefault="00B360FE" w:rsidP="00B360FE">
            <w:pPr>
              <w:pStyle w:val="ListParagraph"/>
              <w:numPr>
                <w:ilvl w:val="0"/>
                <w:numId w:val="48"/>
              </w:numPr>
              <w:spacing w:after="0" w:line="240" w:lineRule="auto"/>
              <w:ind w:left="318" w:hanging="318"/>
              <w:contextualSpacing w:val="0"/>
              <w:rPr>
                <w:rFonts w:ascii="Arial" w:hAnsi="Arial"/>
              </w:rPr>
            </w:pPr>
            <w:r w:rsidRPr="003F100A">
              <w:rPr>
                <w:rFonts w:ascii="Arial" w:hAnsi="Arial"/>
              </w:rPr>
              <w:t xml:space="preserve">Knowledge of research relevant to the post </w:t>
            </w:r>
          </w:p>
          <w:p w:rsidR="00B360FE" w:rsidRPr="003F100A" w:rsidRDefault="00B360FE" w:rsidP="00B360FE">
            <w:pPr>
              <w:rPr>
                <w:rFonts w:ascii="Arial" w:hAnsi="Arial"/>
              </w:rPr>
            </w:pPr>
          </w:p>
        </w:tc>
        <w:tc>
          <w:tcPr>
            <w:tcW w:w="3022" w:type="dxa"/>
          </w:tcPr>
          <w:p w:rsidR="00B360FE" w:rsidRPr="003A5ABE" w:rsidRDefault="00B360FE" w:rsidP="00B360FE">
            <w:pPr>
              <w:spacing w:after="0" w:line="240" w:lineRule="auto"/>
              <w:rPr>
                <w:rFonts w:ascii="Arial" w:eastAsia="Times New Roman" w:hAnsi="Arial" w:cs="Arial"/>
              </w:rPr>
            </w:pPr>
            <w:r w:rsidRPr="003A5ABE">
              <w:rPr>
                <w:rFonts w:ascii="Arial" w:eastAsia="Times New Roman" w:hAnsi="Arial" w:cs="Arial"/>
              </w:rPr>
              <w:t>Application form</w:t>
            </w:r>
          </w:p>
          <w:p w:rsidR="00B360FE" w:rsidRPr="003A5ABE" w:rsidRDefault="00B360FE" w:rsidP="00B360FE">
            <w:pPr>
              <w:spacing w:after="0" w:line="240" w:lineRule="auto"/>
              <w:rPr>
                <w:rFonts w:ascii="Arial" w:eastAsia="Times New Roman" w:hAnsi="Arial" w:cs="Arial"/>
              </w:rPr>
            </w:pPr>
            <w:r w:rsidRPr="003A5ABE">
              <w:rPr>
                <w:rFonts w:ascii="Arial" w:eastAsia="Times New Roman" w:hAnsi="Arial" w:cs="Arial"/>
              </w:rPr>
              <w:t>Selection Process</w:t>
            </w:r>
          </w:p>
          <w:p w:rsidR="00B360FE" w:rsidRPr="003A5ABE" w:rsidRDefault="00B360FE" w:rsidP="00B360F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541"/>
        <w:gridCol w:w="5058"/>
        <w:gridCol w:w="3022"/>
      </w:tblGrid>
      <w:tr w:rsidR="00EF2793" w:rsidRPr="003A5ABE" w:rsidTr="00B360FE">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lastRenderedPageBreak/>
              <w:t xml:space="preserve">Skills </w:t>
            </w:r>
          </w:p>
        </w:tc>
        <w:tc>
          <w:tcPr>
            <w:tcW w:w="5541" w:type="dxa"/>
            <w:tcBorders>
              <w:left w:val="single" w:sz="4" w:space="0" w:color="auto"/>
            </w:tcBorders>
          </w:tcPr>
          <w:p w:rsidR="00B360FE" w:rsidRPr="00304027" w:rsidRDefault="00B360FE" w:rsidP="00B360FE">
            <w:pPr>
              <w:numPr>
                <w:ilvl w:val="0"/>
                <w:numId w:val="25"/>
              </w:numPr>
              <w:spacing w:after="0" w:line="240" w:lineRule="auto"/>
              <w:contextualSpacing/>
              <w:rPr>
                <w:rFonts w:ascii="Arial" w:hAnsi="Arial"/>
              </w:rPr>
            </w:pPr>
            <w:r w:rsidRPr="00304027">
              <w:rPr>
                <w:rFonts w:ascii="Arial" w:hAnsi="Arial"/>
              </w:rPr>
              <w:t>Able to use excellent communication skills to confidently provide analytical, constructive feedback to o</w:t>
            </w:r>
            <w:r>
              <w:rPr>
                <w:rFonts w:ascii="Arial" w:hAnsi="Arial"/>
              </w:rPr>
              <w:t>thers to develop their practice</w:t>
            </w:r>
          </w:p>
          <w:p w:rsidR="00EF2793" w:rsidRPr="00EF2793" w:rsidRDefault="00EF2793" w:rsidP="00B360FE">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B360FE">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B360FE">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B360FE">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058"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B360FE">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541" w:type="dxa"/>
            <w:tcBorders>
              <w:left w:val="single" w:sz="4" w:space="0" w:color="auto"/>
            </w:tcBorders>
          </w:tcPr>
          <w:p w:rsidR="00B360FE" w:rsidRDefault="00B360FE" w:rsidP="00B360FE">
            <w:pPr>
              <w:numPr>
                <w:ilvl w:val="0"/>
                <w:numId w:val="20"/>
              </w:numPr>
              <w:spacing w:after="0" w:line="240" w:lineRule="auto"/>
              <w:contextualSpacing/>
              <w:rPr>
                <w:rFonts w:ascii="Arial" w:hAnsi="Arial"/>
              </w:rPr>
            </w:pPr>
            <w:r>
              <w:rPr>
                <w:rFonts w:ascii="Arial" w:hAnsi="Arial"/>
              </w:rPr>
              <w:t>D</w:t>
            </w:r>
            <w:r w:rsidRPr="00304027">
              <w:rPr>
                <w:rFonts w:ascii="Arial" w:hAnsi="Arial"/>
              </w:rPr>
              <w:t xml:space="preserve">emonstrate confidence in having your own practice observed and scrutinised by </w:t>
            </w:r>
            <w:r>
              <w:rPr>
                <w:rFonts w:ascii="Arial" w:hAnsi="Arial"/>
              </w:rPr>
              <w:t>others</w:t>
            </w:r>
          </w:p>
          <w:p w:rsidR="00B360FE" w:rsidRPr="00304027" w:rsidRDefault="00B360FE" w:rsidP="00B360FE">
            <w:pPr>
              <w:numPr>
                <w:ilvl w:val="0"/>
                <w:numId w:val="20"/>
              </w:numPr>
              <w:spacing w:after="0" w:line="240" w:lineRule="auto"/>
              <w:contextualSpacing/>
              <w:rPr>
                <w:rFonts w:ascii="Arial" w:hAnsi="Arial"/>
              </w:rPr>
            </w:pPr>
            <w:r>
              <w:rPr>
                <w:rFonts w:ascii="Arial" w:hAnsi="Arial"/>
              </w:rPr>
              <w:t>S</w:t>
            </w:r>
            <w:r w:rsidRPr="00304027">
              <w:rPr>
                <w:rFonts w:ascii="Arial" w:hAnsi="Arial"/>
              </w:rPr>
              <w:t xml:space="preserve">elf-reflective, aware of strengths and areas for development, and able to use critical feedback to improve own performance, taking responsibility for </w:t>
            </w:r>
            <w:r>
              <w:rPr>
                <w:rFonts w:ascii="Arial" w:hAnsi="Arial"/>
              </w:rPr>
              <w:t>own professional development</w:t>
            </w:r>
          </w:p>
          <w:p w:rsidR="00B360FE" w:rsidRPr="00B360FE" w:rsidRDefault="00B360FE" w:rsidP="00B360FE">
            <w:pPr>
              <w:numPr>
                <w:ilvl w:val="0"/>
                <w:numId w:val="20"/>
              </w:numPr>
              <w:spacing w:after="0" w:line="240" w:lineRule="auto"/>
              <w:contextualSpacing/>
              <w:rPr>
                <w:rFonts w:ascii="Arial" w:hAnsi="Arial"/>
              </w:rPr>
            </w:pPr>
            <w:r>
              <w:rPr>
                <w:rFonts w:ascii="Arial" w:hAnsi="Arial"/>
              </w:rPr>
              <w:t>O</w:t>
            </w:r>
            <w:r w:rsidRPr="00304027">
              <w:rPr>
                <w:rFonts w:ascii="Arial" w:hAnsi="Arial"/>
              </w:rPr>
              <w:t>rganised and manages time effectively, planning ahead</w:t>
            </w:r>
            <w:r>
              <w:rPr>
                <w:rFonts w:ascii="Arial" w:hAnsi="Arial"/>
              </w:rPr>
              <w:t xml:space="preserve"> systematically well in advance</w:t>
            </w:r>
          </w:p>
          <w:p w:rsidR="00B948C2" w:rsidRDefault="00B948C2" w:rsidP="00B360FE">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B360F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B360FE" w:rsidRPr="00304027" w:rsidRDefault="00B360FE" w:rsidP="00B360FE">
            <w:pPr>
              <w:numPr>
                <w:ilvl w:val="0"/>
                <w:numId w:val="20"/>
              </w:numPr>
              <w:spacing w:after="0" w:line="240" w:lineRule="auto"/>
              <w:contextualSpacing/>
              <w:rPr>
                <w:rFonts w:ascii="Arial" w:hAnsi="Arial"/>
              </w:rPr>
            </w:pPr>
            <w:r>
              <w:rPr>
                <w:rFonts w:ascii="Arial" w:hAnsi="Arial"/>
              </w:rPr>
              <w:t>C</w:t>
            </w:r>
            <w:r w:rsidRPr="00304027">
              <w:rPr>
                <w:rFonts w:ascii="Arial" w:hAnsi="Arial"/>
              </w:rPr>
              <w:t>ommitm</w:t>
            </w:r>
            <w:r>
              <w:rPr>
                <w:rFonts w:ascii="Arial" w:hAnsi="Arial"/>
              </w:rPr>
              <w:t>ent</w:t>
            </w:r>
            <w:r w:rsidRPr="00304027">
              <w:rPr>
                <w:rFonts w:ascii="Arial" w:hAnsi="Arial"/>
              </w:rPr>
              <w:t xml:space="preserve"> to</w:t>
            </w:r>
            <w:r>
              <w:rPr>
                <w:rFonts w:ascii="Arial" w:hAnsi="Arial"/>
              </w:rPr>
              <w:t xml:space="preserve"> shaping the learning of others.</w:t>
            </w:r>
          </w:p>
          <w:p w:rsidR="00B948C2" w:rsidRDefault="00173204" w:rsidP="00B360F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B360F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B360FE">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B360FE">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B360FE">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058"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B360FE">
          <w:pPr>
            <w:pStyle w:val="Footer"/>
            <w:rPr>
              <w:rFonts w:ascii="Arial" w:hAnsi="Arial"/>
              <w:color w:val="000000" w:themeColor="text1"/>
              <w:sz w:val="16"/>
              <w:szCs w:val="16"/>
            </w:rPr>
          </w:pPr>
          <w:r>
            <w:rPr>
              <w:rFonts w:ascii="Arial" w:hAnsi="Arial"/>
              <w:color w:val="000000" w:themeColor="text1"/>
              <w:sz w:val="16"/>
              <w:szCs w:val="16"/>
            </w:rPr>
            <w:t>V</w:t>
          </w:r>
          <w:r w:rsidR="00DB05D8">
            <w:rPr>
              <w:rFonts w:ascii="Arial" w:hAnsi="Arial"/>
              <w:color w:val="000000" w:themeColor="text1"/>
              <w:sz w:val="16"/>
              <w:szCs w:val="16"/>
            </w:rPr>
            <w:t>2</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DB05D8" w:rsidP="00A94DC9">
          <w:pPr>
            <w:pStyle w:val="Footer"/>
            <w:rPr>
              <w:rFonts w:ascii="Arial" w:hAnsi="Arial"/>
              <w:color w:val="000000" w:themeColor="text1"/>
              <w:sz w:val="16"/>
              <w:szCs w:val="16"/>
            </w:rPr>
          </w:pPr>
          <w:r>
            <w:rPr>
              <w:rFonts w:ascii="Arial" w:hAnsi="Arial"/>
              <w:color w:val="000000" w:themeColor="text1"/>
              <w:sz w:val="16"/>
              <w:szCs w:val="16"/>
            </w:rPr>
            <w:t>12 November 2018</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5D3B45" w:rsidP="00266FAF">
          <w:pPr>
            <w:pStyle w:val="Header"/>
            <w:rPr>
              <w:b/>
              <w:sz w:val="16"/>
              <w:szCs w:val="16"/>
            </w:rPr>
          </w:pPr>
          <w:r>
            <w:rPr>
              <w:b/>
              <w:sz w:val="16"/>
              <w:szCs w:val="16"/>
            </w:rPr>
            <w:t xml:space="preserve">Children’s Social Care </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75B3"/>
    <w:multiLevelType w:val="hybridMultilevel"/>
    <w:tmpl w:val="321A90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62BB6"/>
    <w:multiLevelType w:val="hybridMultilevel"/>
    <w:tmpl w:val="CD609B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15:restartNumberingAfterBreak="0">
    <w:nsid w:val="69C74527"/>
    <w:multiLevelType w:val="hybridMultilevel"/>
    <w:tmpl w:val="7DAE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6FDA4890"/>
    <w:multiLevelType w:val="hybridMultilevel"/>
    <w:tmpl w:val="F9A00A9E"/>
    <w:lvl w:ilvl="0" w:tplc="1BEA1FA0">
      <w:start w:val="1"/>
      <w:numFmt w:val="bullet"/>
      <w:lvlText w:val=""/>
      <w:lvlJc w:val="left"/>
      <w:pPr>
        <w:ind w:left="2160" w:hanging="360"/>
      </w:pPr>
      <w:rPr>
        <w:rFonts w:ascii="Symbol" w:hAnsi="Symbol" w:hint="default"/>
        <w:color w:val="000000" w:themeColor="text1"/>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B5D60"/>
    <w:multiLevelType w:val="hybridMultilevel"/>
    <w:tmpl w:val="159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9"/>
  </w:num>
  <w:num w:numId="4">
    <w:abstractNumId w:val="36"/>
  </w:num>
  <w:num w:numId="5">
    <w:abstractNumId w:val="28"/>
  </w:num>
  <w:num w:numId="6">
    <w:abstractNumId w:val="35"/>
  </w:num>
  <w:num w:numId="7">
    <w:abstractNumId w:val="3"/>
  </w:num>
  <w:num w:numId="8">
    <w:abstractNumId w:val="31"/>
  </w:num>
  <w:num w:numId="9">
    <w:abstractNumId w:val="33"/>
  </w:num>
  <w:num w:numId="10">
    <w:abstractNumId w:val="20"/>
  </w:num>
  <w:num w:numId="11">
    <w:abstractNumId w:val="15"/>
  </w:num>
  <w:num w:numId="12">
    <w:abstractNumId w:val="43"/>
  </w:num>
  <w:num w:numId="13">
    <w:abstractNumId w:val="25"/>
  </w:num>
  <w:num w:numId="14">
    <w:abstractNumId w:val="46"/>
  </w:num>
  <w:num w:numId="15">
    <w:abstractNumId w:val="49"/>
  </w:num>
  <w:num w:numId="16">
    <w:abstractNumId w:val="45"/>
  </w:num>
  <w:num w:numId="17">
    <w:abstractNumId w:val="17"/>
  </w:num>
  <w:num w:numId="18">
    <w:abstractNumId w:val="11"/>
  </w:num>
  <w:num w:numId="19">
    <w:abstractNumId w:val="8"/>
  </w:num>
  <w:num w:numId="20">
    <w:abstractNumId w:val="48"/>
  </w:num>
  <w:num w:numId="21">
    <w:abstractNumId w:val="0"/>
  </w:num>
  <w:num w:numId="22">
    <w:abstractNumId w:val="44"/>
  </w:num>
  <w:num w:numId="23">
    <w:abstractNumId w:val="2"/>
  </w:num>
  <w:num w:numId="24">
    <w:abstractNumId w:val="26"/>
  </w:num>
  <w:num w:numId="25">
    <w:abstractNumId w:val="4"/>
  </w:num>
  <w:num w:numId="26">
    <w:abstractNumId w:val="6"/>
  </w:num>
  <w:num w:numId="27">
    <w:abstractNumId w:val="18"/>
  </w:num>
  <w:num w:numId="28">
    <w:abstractNumId w:val="30"/>
  </w:num>
  <w:num w:numId="29">
    <w:abstractNumId w:val="9"/>
  </w:num>
  <w:num w:numId="30">
    <w:abstractNumId w:val="39"/>
  </w:num>
  <w:num w:numId="31">
    <w:abstractNumId w:val="19"/>
  </w:num>
  <w:num w:numId="32">
    <w:abstractNumId w:val="32"/>
  </w:num>
  <w:num w:numId="33">
    <w:abstractNumId w:val="41"/>
  </w:num>
  <w:num w:numId="34">
    <w:abstractNumId w:val="10"/>
  </w:num>
  <w:num w:numId="35">
    <w:abstractNumId w:val="27"/>
  </w:num>
  <w:num w:numId="36">
    <w:abstractNumId w:val="38"/>
  </w:num>
  <w:num w:numId="37">
    <w:abstractNumId w:val="21"/>
  </w:num>
  <w:num w:numId="38">
    <w:abstractNumId w:val="23"/>
  </w:num>
  <w:num w:numId="39">
    <w:abstractNumId w:val="13"/>
  </w:num>
  <w:num w:numId="40">
    <w:abstractNumId w:val="7"/>
  </w:num>
  <w:num w:numId="41">
    <w:abstractNumId w:val="34"/>
  </w:num>
  <w:num w:numId="42">
    <w:abstractNumId w:val="37"/>
  </w:num>
  <w:num w:numId="43">
    <w:abstractNumId w:val="5"/>
  </w:num>
  <w:num w:numId="44">
    <w:abstractNumId w:val="14"/>
  </w:num>
  <w:num w:numId="45">
    <w:abstractNumId w:val="22"/>
  </w:num>
  <w:num w:numId="46">
    <w:abstractNumId w:val="1"/>
  </w:num>
  <w:num w:numId="47">
    <w:abstractNumId w:val="40"/>
  </w:num>
  <w:num w:numId="48">
    <w:abstractNumId w:val="47"/>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1BBB"/>
    <w:rsid w:val="002B4107"/>
    <w:rsid w:val="002B62C2"/>
    <w:rsid w:val="002D7F25"/>
    <w:rsid w:val="003367AE"/>
    <w:rsid w:val="003378FD"/>
    <w:rsid w:val="003561A8"/>
    <w:rsid w:val="00363D69"/>
    <w:rsid w:val="003805D8"/>
    <w:rsid w:val="003A5ABE"/>
    <w:rsid w:val="003C4CCA"/>
    <w:rsid w:val="003F6976"/>
    <w:rsid w:val="00445C6D"/>
    <w:rsid w:val="00490D0B"/>
    <w:rsid w:val="004C238B"/>
    <w:rsid w:val="004C7F03"/>
    <w:rsid w:val="00584C22"/>
    <w:rsid w:val="00591AC0"/>
    <w:rsid w:val="00597BAF"/>
    <w:rsid w:val="005A698E"/>
    <w:rsid w:val="005C089E"/>
    <w:rsid w:val="005D3756"/>
    <w:rsid w:val="005D3B45"/>
    <w:rsid w:val="005E5F7D"/>
    <w:rsid w:val="005E7765"/>
    <w:rsid w:val="00646233"/>
    <w:rsid w:val="00651A44"/>
    <w:rsid w:val="00671720"/>
    <w:rsid w:val="00685A64"/>
    <w:rsid w:val="006B2C55"/>
    <w:rsid w:val="006C3291"/>
    <w:rsid w:val="006D6BA6"/>
    <w:rsid w:val="006D7F19"/>
    <w:rsid w:val="006E1748"/>
    <w:rsid w:val="006E2350"/>
    <w:rsid w:val="00807FCE"/>
    <w:rsid w:val="008406F7"/>
    <w:rsid w:val="00850E4B"/>
    <w:rsid w:val="00855374"/>
    <w:rsid w:val="0087027D"/>
    <w:rsid w:val="00890F2B"/>
    <w:rsid w:val="00892402"/>
    <w:rsid w:val="008B1F59"/>
    <w:rsid w:val="008C0877"/>
    <w:rsid w:val="008C10D9"/>
    <w:rsid w:val="008F5AAB"/>
    <w:rsid w:val="009053FD"/>
    <w:rsid w:val="00921E69"/>
    <w:rsid w:val="00934716"/>
    <w:rsid w:val="00946B6F"/>
    <w:rsid w:val="009677BE"/>
    <w:rsid w:val="00975CDF"/>
    <w:rsid w:val="009769AC"/>
    <w:rsid w:val="009B0533"/>
    <w:rsid w:val="009E315D"/>
    <w:rsid w:val="00A440D7"/>
    <w:rsid w:val="00A4617B"/>
    <w:rsid w:val="00A709FF"/>
    <w:rsid w:val="00A94DC9"/>
    <w:rsid w:val="00AA69C7"/>
    <w:rsid w:val="00AB4D28"/>
    <w:rsid w:val="00AB74E1"/>
    <w:rsid w:val="00AD3883"/>
    <w:rsid w:val="00AF5A5A"/>
    <w:rsid w:val="00B22E69"/>
    <w:rsid w:val="00B360FE"/>
    <w:rsid w:val="00B90FF7"/>
    <w:rsid w:val="00B948C2"/>
    <w:rsid w:val="00BB459C"/>
    <w:rsid w:val="00BC2F58"/>
    <w:rsid w:val="00BD7866"/>
    <w:rsid w:val="00BF6E28"/>
    <w:rsid w:val="00C25E24"/>
    <w:rsid w:val="00C44C04"/>
    <w:rsid w:val="00CA0507"/>
    <w:rsid w:val="00CA64E3"/>
    <w:rsid w:val="00CD4815"/>
    <w:rsid w:val="00CD55CB"/>
    <w:rsid w:val="00CE34BD"/>
    <w:rsid w:val="00CE6635"/>
    <w:rsid w:val="00D2635D"/>
    <w:rsid w:val="00D60E61"/>
    <w:rsid w:val="00D76A6A"/>
    <w:rsid w:val="00DA0678"/>
    <w:rsid w:val="00DA6B83"/>
    <w:rsid w:val="00DB05D8"/>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55B57F"/>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 w:type="paragraph" w:customStyle="1" w:styleId="CharCharCharCharCharCharCharChar1Char3">
    <w:name w:val="Char Char Char Char Char Char Char Char1 Char"/>
    <w:basedOn w:val="Normal"/>
    <w:rsid w:val="005D3B45"/>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4C33-CA3B-4F06-8576-E4ED7EF4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Hazel Ostle</cp:lastModifiedBy>
  <cp:revision>5</cp:revision>
  <cp:lastPrinted>2015-04-23T16:13:00Z</cp:lastPrinted>
  <dcterms:created xsi:type="dcterms:W3CDTF">2018-11-12T12:10:00Z</dcterms:created>
  <dcterms:modified xsi:type="dcterms:W3CDTF">2018-11-13T12:54:00Z</dcterms:modified>
</cp:coreProperties>
</file>