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0EA" w:rsidRDefault="00973B08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Northumberland County Council</w:t>
      </w:r>
    </w:p>
    <w:p w:rsidR="007820EA" w:rsidRDefault="00973B08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779"/>
        <w:gridCol w:w="3521"/>
        <w:gridCol w:w="3780"/>
        <w:gridCol w:w="1871"/>
      </w:tblGrid>
      <w:tr w:rsidR="007820EA">
        <w:trPr>
          <w:trHeight w:val="260"/>
        </w:trPr>
        <w:tc>
          <w:tcPr>
            <w:tcW w:w="52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>Temporary Accommodation Officer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Community Services &amp; Housing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Office Use</w:t>
            </w:r>
          </w:p>
        </w:tc>
      </w:tr>
      <w:tr w:rsidR="007820EA">
        <w:trPr>
          <w:trHeight w:val="380"/>
        </w:trPr>
        <w:tc>
          <w:tcPr>
            <w:tcW w:w="5287" w:type="dxa"/>
            <w:gridSpan w:val="2"/>
            <w:tcBorders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Grade: </w:t>
            </w:r>
            <w:r>
              <w:t>5</w:t>
            </w:r>
          </w:p>
        </w:tc>
        <w:tc>
          <w:tcPr>
            <w:tcW w:w="73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Workplace:  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ref: 2711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HRMS ref:</w:t>
            </w:r>
          </w:p>
        </w:tc>
      </w:tr>
      <w:tr w:rsidR="007820EA">
        <w:trPr>
          <w:trHeight w:val="380"/>
        </w:trPr>
        <w:tc>
          <w:tcPr>
            <w:tcW w:w="528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Responsible to: </w:t>
            </w:r>
            <w:r>
              <w:t>Principal Housing Options &amp;</w:t>
            </w:r>
            <w:r>
              <w:t xml:space="preserve"> Homelessness Officer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Date: </w:t>
            </w:r>
            <w:r>
              <w:t>July 2013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Manager Level: 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Job Purpose:  </w:t>
            </w:r>
          </w:p>
          <w:p w:rsidR="007820EA" w:rsidRDefault="00973B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be responsible for working with homeless households accommodated pursuant to duties owed under the Housing Act 1996, Part VII, to ensure that settled accommodation is secured and sustained.</w:t>
            </w:r>
          </w:p>
          <w:p w:rsidR="007820EA" w:rsidRDefault="00973B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be responsible for the day to day management of residents wi</w:t>
            </w:r>
            <w:r>
              <w:t>thin the council’s emergency/temporary accommodation</w:t>
            </w:r>
          </w:p>
          <w:p w:rsidR="007820EA" w:rsidRDefault="00973B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 maximise the client’s income to ensure that they have the maximum capacity to meet their financial commitments</w:t>
            </w:r>
          </w:p>
          <w:p w:rsidR="007820EA" w:rsidRDefault="00973B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t>To effectively liaise and manage the relationship with customers, both internal and external, partners and stakeholders</w:t>
            </w:r>
          </w:p>
          <w:p w:rsidR="007820EA" w:rsidRDefault="00973B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</w:pPr>
            <w:r>
              <w:t>To be responsible for the security and management of the hostel and its fixtures and fittings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rPr>
          <w:trHeight w:val="300"/>
        </w:trPr>
        <w:tc>
          <w:tcPr>
            <w:tcW w:w="35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Resources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staff</w:t>
            </w:r>
          </w:p>
        </w:tc>
      </w:tr>
      <w:tr w:rsidR="007820EA">
        <w:trPr>
          <w:trHeight w:val="300"/>
        </w:trPr>
        <w:tc>
          <w:tcPr>
            <w:tcW w:w="5287" w:type="dxa"/>
            <w:gridSpan w:val="2"/>
            <w:tcBorders>
              <w:top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Responsibility for collection and administration of rental payments for the temporary accommodation and ensuring that these are met by clients</w:t>
            </w:r>
          </w:p>
        </w:tc>
      </w:tr>
      <w:tr w:rsidR="007820EA">
        <w:trPr>
          <w:trHeight w:val="300"/>
        </w:trPr>
        <w:tc>
          <w:tcPr>
            <w:tcW w:w="5287" w:type="dxa"/>
            <w:gridSpan w:val="2"/>
            <w:tcBorders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9172" w:type="dxa"/>
            <w:gridSpan w:val="3"/>
            <w:tcBorders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Responsible for the safe keeping of valuable documents e.g. financial and benefit documentation</w:t>
            </w:r>
          </w:p>
        </w:tc>
      </w:tr>
      <w:tr w:rsidR="007820EA">
        <w:trPr>
          <w:trHeight w:val="300"/>
        </w:trPr>
        <w:tc>
          <w:tcPr>
            <w:tcW w:w="5287" w:type="dxa"/>
            <w:gridSpan w:val="2"/>
            <w:tcBorders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9172" w:type="dxa"/>
            <w:gridSpan w:val="3"/>
            <w:tcBorders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Daily contact with people who are homeless, highly complex cases including clients with drug, alcohol and mental health issues, and partners, support organisations &amp; colleagues </w:t>
            </w:r>
          </w:p>
        </w:tc>
      </w:tr>
      <w:tr w:rsidR="007820EA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</w:rPr>
              <w:t>Duties and key result areas: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work with households accommodated temporarily to ensure settled homes are secured either through Part VI offers or nominations to RSLs and other housing providers.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To visit and establish relationships with all new households in temporary accommodation </w:t>
            </w:r>
            <w:r>
              <w:t>within one week of moving in.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undertake a programme of face to face visits to households accommodated temporarily and provide support during the period of their occupation of TA.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negotiate affordable agreements to repay housing related debt where t</w:t>
            </w:r>
            <w:r>
              <w:t>his presents a barrier to securing permanent accommodation.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monitor payment patterns and make recommendations to the Principal Housing Options &amp; Homelessness Officer on cases to be considered for a Part VI Offer.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collect information which may be relevant to the case and where appropriate signpost or engage assistance from other agencies such as CAB, Debt Advice etc. appropriate to the client’s need.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complete relevant monitoring forms and visiting reports.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R</w:t>
            </w:r>
            <w:r>
              <w:t>egular attendance at confidential Safeguarding case conferences, core groups etc to support household temporarily accommodated.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update relevant files and computerised information systems to fully record case details, and to ensure these systems are kep</w:t>
            </w:r>
            <w:r>
              <w:t>t up to date and accurate.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continue providing support to households in settled accommodation where there is a risk of repeat homelessness or support needs are identified.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be responsible for the discharge of both priority &amp;</w:t>
            </w:r>
            <w:r>
              <w:t xml:space="preserve"> non-priority residents from the temporary/emergency accommodation to both the social and private housing sector, working with partner organisations to ensure effective and timely move-on. </w:t>
            </w: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20" w:after="120"/>
            </w:pPr>
            <w:r>
              <w:rPr>
                <w:color w:val="000000"/>
              </w:rPr>
              <w:t xml:space="preserve">      To be on call for out of office hours emergency calls relati</w:t>
            </w:r>
            <w:r>
              <w:rPr>
                <w:color w:val="000000"/>
              </w:rPr>
              <w:t>ng to the temporary/emergency accommodation.</w:t>
            </w: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before="120" w:after="120"/>
            </w:pPr>
            <w:r>
              <w:rPr>
                <w:color w:val="000000"/>
              </w:rPr>
              <w:t>To support the effective &amp; efficient use of facilities within the temporary/emergency accommodation by ensuring its availability for use at all times, including , when required, room turnaround</w:t>
            </w: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before="120" w:after="120"/>
            </w:pPr>
            <w:r>
              <w:rPr>
                <w:color w:val="000000"/>
              </w:rPr>
              <w:t>Support the delivery of the service by providing cover for colleagues when they are not available, as requested by the line manager.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compile and present a variety of information and statistics, including writing reports for use by the Council and other</w:t>
            </w:r>
            <w:r>
              <w:t xml:space="preserve"> groups.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liaise and work closely with the Housing Options &amp; Homelessness Officers and the Housing Assessment &amp; Registration Officers.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ensure that confidentiality is maintained concerning cases, and that information is only disclosed where necessary</w:t>
            </w:r>
            <w:r>
              <w:t xml:space="preserve"> and according to procedure.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contribute to initiatives for the development and enhancement of service delivery.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undertake any other appropriate duties of a similar level and responsibility as may be required from time to time.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To promote the service, the Council and partner organisations positively at all times.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postholder will be included on an out of hours rota for admission of approved clients to the accommodation and for attendance at any other incidents at the temporar</w:t>
            </w:r>
            <w:r>
              <w:t xml:space="preserve">y/emergency accommodation where an officer is required 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duties and responsibilities highlighted in this Job Description are indicative and may vary over time.  Post holders are expected to undertake other duties and responsibilities relevant to the na</w:t>
            </w:r>
            <w:r>
              <w:t>ture, level and extent of the post and the grade has been established on this basis.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0EA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>Work Arrangements</w:t>
            </w:r>
          </w:p>
        </w:tc>
      </w:tr>
      <w:tr w:rsidR="007820EA">
        <w:trPr>
          <w:trHeight w:val="340"/>
        </w:trPr>
        <w:tc>
          <w:tcPr>
            <w:tcW w:w="52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Physical Requirements: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Transport requirements: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patterns: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</w:t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drive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work involves the need to visit sites throughout the County on a regular and routine basis. 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Flexible working the ability to work occasional evening or weekend.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postholder will be included on an out of hours rota 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Post based indoors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Regularly place</w:t>
            </w:r>
            <w:r>
              <w:t>s significant emotional demands on the postholder</w:t>
            </w:r>
          </w:p>
        </w:tc>
      </w:tr>
    </w:tbl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</w:p>
    <w:p w:rsidR="007820EA" w:rsidRDefault="00973B0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lastRenderedPageBreak/>
        <w:t>Northumberland County Council</w:t>
      </w:r>
    </w:p>
    <w:p w:rsidR="007820EA" w:rsidRDefault="00973B0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PERSON SPECIFICATION</w:t>
      </w:r>
    </w:p>
    <w:p w:rsidR="007820EA" w:rsidRDefault="007820E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80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6"/>
        <w:gridCol w:w="4680"/>
        <w:gridCol w:w="1682"/>
      </w:tblGrid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 Temporary Accommodation Officer</w:t>
            </w:r>
          </w:p>
        </w:tc>
        <w:tc>
          <w:tcPr>
            <w:tcW w:w="4680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Housing</w:t>
            </w:r>
          </w:p>
        </w:tc>
        <w:tc>
          <w:tcPr>
            <w:tcW w:w="1682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Ref: 2711</w:t>
            </w: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Essential</w:t>
            </w:r>
          </w:p>
        </w:tc>
        <w:tc>
          <w:tcPr>
            <w:tcW w:w="4680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Desirable</w:t>
            </w:r>
          </w:p>
        </w:tc>
        <w:tc>
          <w:tcPr>
            <w:tcW w:w="1682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Assess by</w:t>
            </w:r>
          </w:p>
        </w:tc>
      </w:tr>
      <w:tr w:rsidR="007820EA">
        <w:tc>
          <w:tcPr>
            <w:tcW w:w="14808" w:type="dxa"/>
            <w:gridSpan w:val="3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Qualifications and Knowledge</w:t>
            </w:r>
          </w:p>
        </w:tc>
      </w:tr>
      <w:tr w:rsidR="007820EA">
        <w:trPr>
          <w:trHeight w:val="900"/>
        </w:trPr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Good general level of education.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Understands the diverse functions of a large complex public organisation.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active appreciation of the procedural and practical issues relating to the service.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active awareness of and active interest in the current issues facing the service.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Understands the relationship between costs, quality, customer care and performance and actively monitors progress within the Department.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Actively undertaking ongoing conti</w:t>
            </w:r>
            <w:r>
              <w:t>nuous professional and personal development.</w:t>
            </w:r>
          </w:p>
        </w:tc>
        <w:tc>
          <w:tcPr>
            <w:tcW w:w="4680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Minimum of 4 GCSEs including mathematics and English.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14808" w:type="dxa"/>
            <w:gridSpan w:val="3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Experience</w:t>
            </w: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Competence in using Microsoft Office, Oracle applications, word processing, spreadsheets and database systems.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Thorough knowledge and experience in a relevant context and service.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active desire to provide effective customer centred services.</w:t>
            </w:r>
          </w:p>
        </w:tc>
        <w:tc>
          <w:tcPr>
            <w:tcW w:w="4680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Worked in the area of homelessness or housing option for a local authority providing the homeless function.</w:t>
            </w:r>
          </w:p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14808" w:type="dxa"/>
            <w:gridSpan w:val="3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Skills and </w:t>
            </w:r>
            <w:r>
              <w:rPr>
                <w:b/>
              </w:rPr>
              <w:t>competencies</w:t>
            </w: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Effective IT skills and ability to understand and develop the use of ITC to achieve work objectives.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Confident and competent in expressing own views and an active participant in internal and external meetings.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Numerate and able to analyse complex business related statistics.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work methodically and systematically.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Adopts a collaborative approach to work. </w:t>
            </w:r>
          </w:p>
        </w:tc>
        <w:tc>
          <w:tcPr>
            <w:tcW w:w="4680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14808" w:type="dxa"/>
            <w:gridSpan w:val="3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Physical, mental and emotional demands</w:t>
            </w: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Generally works from a seated position with regular need to walk, bend or carry items.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Need to maintain general awareness, with lengthy periods of enhanced concentration.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 contact with public/clients in dispute/negotiation with the County Council.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</w:t>
            </w:r>
            <w:r>
              <w:t>e able to work under pressure and work in a highly pressured environment on a daily basis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work alone, with support as and when required.</w:t>
            </w:r>
          </w:p>
        </w:tc>
        <w:tc>
          <w:tcPr>
            <w:tcW w:w="4680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14808" w:type="dxa"/>
            <w:gridSpan w:val="3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Motivation</w:t>
            </w: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Dependable, reliable, a good timekeeper and effective guide/mentor to subordinate staff.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Customer focused and able to deliver within tight timescales.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Demonstrates and encourages high standards of honesty, integrity, openness and respect for others. 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Helps to create and encourages a positive work culture, in which diverse, individual contribut</w:t>
            </w:r>
            <w:r>
              <w:t>ions and perspectives are valued.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Proactive and achievement orientated</w:t>
            </w:r>
          </w:p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Able to work with minimum supervision.</w:t>
            </w:r>
          </w:p>
        </w:tc>
        <w:tc>
          <w:tcPr>
            <w:tcW w:w="4680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20EA">
        <w:tc>
          <w:tcPr>
            <w:tcW w:w="8446" w:type="dxa"/>
          </w:tcPr>
          <w:p w:rsidR="007820EA" w:rsidRDefault="0097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Other</w:t>
            </w:r>
          </w:p>
        </w:tc>
        <w:tc>
          <w:tcPr>
            <w:tcW w:w="4680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2" w:type="dxa"/>
          </w:tcPr>
          <w:p w:rsidR="007820EA" w:rsidRDefault="0078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820EA" w:rsidRDefault="007820EA">
      <w:pPr>
        <w:pBdr>
          <w:top w:val="nil"/>
          <w:left w:val="nil"/>
          <w:bottom w:val="nil"/>
          <w:right w:val="nil"/>
          <w:between w:val="nil"/>
        </w:pBdr>
      </w:pPr>
    </w:p>
    <w:p w:rsidR="007820EA" w:rsidRDefault="00973B08">
      <w:pPr>
        <w:pBdr>
          <w:top w:val="nil"/>
          <w:left w:val="nil"/>
          <w:bottom w:val="nil"/>
          <w:right w:val="nil"/>
          <w:between w:val="nil"/>
        </w:pBdr>
      </w:pPr>
      <w:r>
        <w:t>Key to assessment methods; (a) application form, (i) interview, (r) references, (t) ability tests (q) personality questionnaire (g) assessed group work, (p) presentation, (o) others e.g. case studies/visits</w:t>
      </w:r>
    </w:p>
    <w:sectPr w:rsidR="007820EA">
      <w:pgSz w:w="16838" w:h="11906"/>
      <w:pgMar w:top="426" w:right="1440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1B"/>
    <w:multiLevelType w:val="multilevel"/>
    <w:tmpl w:val="874E59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BB4394C"/>
    <w:multiLevelType w:val="multilevel"/>
    <w:tmpl w:val="B4606722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820EA"/>
    <w:rsid w:val="007820EA"/>
    <w:rsid w:val="009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Marie</dc:creator>
  <cp:lastModifiedBy>Curry, Marie</cp:lastModifiedBy>
  <cp:revision>2</cp:revision>
  <dcterms:created xsi:type="dcterms:W3CDTF">2019-01-03T11:40:00Z</dcterms:created>
  <dcterms:modified xsi:type="dcterms:W3CDTF">2019-01-03T11:40:00Z</dcterms:modified>
</cp:coreProperties>
</file>