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92" w:rsidRDefault="00D22392" w:rsidP="00614502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E4849CB" wp14:editId="5643A98A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275715" cy="998220"/>
            <wp:effectExtent l="0" t="0" r="635" b="0"/>
            <wp:wrapThrough wrapText="bothSides">
              <wp:wrapPolygon edited="0">
                <wp:start x="0" y="0"/>
                <wp:lineTo x="0" y="21023"/>
                <wp:lineTo x="21288" y="21023"/>
                <wp:lineTo x="21288" y="0"/>
                <wp:lineTo x="0" y="0"/>
              </wp:wrapPolygon>
            </wp:wrapThrough>
            <wp:docPr id="8" name="Picture 8" descr="MC_logo_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_logo_Proc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502" w:rsidRDefault="00614502" w:rsidP="00614502">
      <w:pPr>
        <w:jc w:val="both"/>
        <w:rPr>
          <w:rFonts w:ascii="Arial" w:hAnsi="Arial" w:cs="Arial"/>
        </w:rPr>
      </w:pPr>
    </w:p>
    <w:p w:rsidR="00614502" w:rsidRDefault="00614502" w:rsidP="00614502">
      <w:pPr>
        <w:jc w:val="both"/>
        <w:rPr>
          <w:rFonts w:ascii="Arial" w:hAnsi="Arial" w:cs="Arial"/>
          <w:b/>
        </w:rPr>
      </w:pPr>
    </w:p>
    <w:p w:rsidR="00D22392" w:rsidRDefault="00D22392" w:rsidP="00D22392">
      <w:pPr>
        <w:rPr>
          <w:rFonts w:ascii="Arial" w:hAnsi="Arial" w:cs="Arial"/>
          <w:b/>
        </w:rPr>
      </w:pPr>
    </w:p>
    <w:p w:rsidR="00D22392" w:rsidRDefault="00D22392" w:rsidP="00D22392">
      <w:pPr>
        <w:rPr>
          <w:noProof/>
          <w:lang w:eastAsia="en-GB"/>
        </w:rPr>
      </w:pPr>
    </w:p>
    <w:p w:rsidR="00D22392" w:rsidRPr="005C7137" w:rsidRDefault="00D22392" w:rsidP="00D22392">
      <w:pPr>
        <w:rPr>
          <w:rFonts w:ascii="Arial" w:hAnsi="Arial" w:cs="Arial"/>
          <w:b/>
          <w:sz w:val="24"/>
          <w:szCs w:val="24"/>
        </w:rPr>
      </w:pPr>
      <w:r w:rsidRPr="005C713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4B76BF8" wp14:editId="4BB5DC30">
            <wp:simplePos x="0" y="0"/>
            <wp:positionH relativeFrom="column">
              <wp:posOffset>3240405</wp:posOffset>
            </wp:positionH>
            <wp:positionV relativeFrom="paragraph">
              <wp:posOffset>-1138555</wp:posOffset>
            </wp:positionV>
            <wp:extent cx="20193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396" y="21109"/>
                <wp:lineTo x="21396" y="0"/>
                <wp:lineTo x="0" y="0"/>
              </wp:wrapPolygon>
            </wp:wrapTight>
            <wp:docPr id="6" name="Picture 6" descr="lgo_northern_skill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go_northern_skill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137">
        <w:rPr>
          <w:rFonts w:ascii="Arial" w:hAnsi="Arial" w:cs="Arial"/>
          <w:b/>
          <w:sz w:val="24"/>
          <w:szCs w:val="24"/>
        </w:rPr>
        <w:t>Job Description</w:t>
      </w:r>
    </w:p>
    <w:p w:rsidR="00D22392" w:rsidRPr="005C7137" w:rsidRDefault="00D22392" w:rsidP="00D2239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534"/>
      </w:tblGrid>
      <w:tr w:rsidR="00D22392" w:rsidRPr="005C7137" w:rsidTr="00D22392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2" w:rsidRPr="005C7137" w:rsidRDefault="00D22392">
            <w:pPr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Post Holder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Pr="005C7137" w:rsidRDefault="00D223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392" w:rsidRPr="005C7137" w:rsidTr="00D22392">
        <w:trPr>
          <w:cantSplit/>
          <w:trHeight w:val="40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2" w:rsidRPr="005C7137" w:rsidRDefault="00D22392">
            <w:pPr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Pr="005C7137" w:rsidRDefault="00D22392" w:rsidP="00D22392">
            <w:pPr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Attendance Officer</w:t>
            </w:r>
          </w:p>
        </w:tc>
      </w:tr>
      <w:tr w:rsidR="00D22392" w:rsidRPr="005C7137" w:rsidTr="00D22392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2" w:rsidRPr="005C7137" w:rsidRDefault="00D2239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Responsible to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A6" w:rsidRPr="005C7137" w:rsidRDefault="001D59BF" w:rsidP="00D2239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59BF">
              <w:rPr>
                <w:rFonts w:ascii="Arial" w:hAnsi="Arial" w:cs="Arial"/>
                <w:sz w:val="24"/>
                <w:szCs w:val="24"/>
              </w:rPr>
              <w:t>Associate Director - Quality</w:t>
            </w:r>
          </w:p>
        </w:tc>
      </w:tr>
    </w:tbl>
    <w:p w:rsidR="00D22392" w:rsidRPr="005C7137" w:rsidRDefault="00D22392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22392" w:rsidRPr="005C7137" w:rsidRDefault="00D22392" w:rsidP="00D22392">
      <w:pPr>
        <w:rPr>
          <w:rFonts w:ascii="Arial" w:hAnsi="Arial" w:cs="Arial"/>
          <w:b/>
          <w:bCs/>
          <w:sz w:val="24"/>
          <w:szCs w:val="24"/>
        </w:rPr>
      </w:pPr>
      <w:r w:rsidRPr="005C7137">
        <w:rPr>
          <w:rFonts w:ascii="Arial" w:hAnsi="Arial" w:cs="Arial"/>
          <w:b/>
          <w:bCs/>
          <w:sz w:val="24"/>
          <w:szCs w:val="24"/>
        </w:rPr>
        <w:t xml:space="preserve">Purpose: Key Strategic Objectives </w:t>
      </w:r>
      <w:bookmarkStart w:id="0" w:name="_GoBack"/>
      <w:bookmarkEnd w:id="0"/>
    </w:p>
    <w:p w:rsidR="00D22392" w:rsidRPr="005C7137" w:rsidRDefault="00A05A7F" w:rsidP="00A05A7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To contribute to the overall improvement of student attendance and punctuality through partnership with students, parents and colleagues.</w:t>
      </w:r>
    </w:p>
    <w:p w:rsidR="00D22392" w:rsidRPr="005C7137" w:rsidRDefault="00D22392" w:rsidP="00A05A7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be actively involved in the attainment of objectives contained within the College’s Development Plan.</w:t>
      </w:r>
    </w:p>
    <w:p w:rsidR="00A05A7F" w:rsidRPr="005C7137" w:rsidRDefault="00A05A7F" w:rsidP="00A0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hold and actively demonstrate the College’s Core Values in all that you do.</w:t>
      </w:r>
    </w:p>
    <w:p w:rsidR="00A05A7F" w:rsidRPr="005C7137" w:rsidRDefault="00A05A7F" w:rsidP="00A05A7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Aim High…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Work Hard…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Take Responsibility…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 xml:space="preserve">Do </w:t>
      </w:r>
      <w:proofErr w:type="gramStart"/>
      <w:r w:rsidRPr="005C7137">
        <w:rPr>
          <w:rFonts w:ascii="Arial" w:hAnsi="Arial" w:cs="Arial"/>
          <w:sz w:val="24"/>
          <w:szCs w:val="24"/>
        </w:rPr>
        <w:t>What’s</w:t>
      </w:r>
      <w:proofErr w:type="gramEnd"/>
      <w:r w:rsidRPr="005C7137">
        <w:rPr>
          <w:rFonts w:ascii="Arial" w:hAnsi="Arial" w:cs="Arial"/>
          <w:sz w:val="24"/>
          <w:szCs w:val="24"/>
        </w:rPr>
        <w:t xml:space="preserve"> Right… 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Respect Others…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Challenge Yourself….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Take Pride……</w:t>
      </w:r>
    </w:p>
    <w:p w:rsidR="00A05A7F" w:rsidRPr="005C7137" w:rsidRDefault="00A05A7F" w:rsidP="00A0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392" w:rsidRPr="005C7137" w:rsidRDefault="00D22392" w:rsidP="00D22392">
      <w:pPr>
        <w:pStyle w:val="ListParagraph"/>
        <w:rPr>
          <w:rFonts w:ascii="Arial" w:hAnsi="Arial" w:cs="Arial"/>
          <w:sz w:val="24"/>
          <w:szCs w:val="24"/>
        </w:rPr>
      </w:pPr>
    </w:p>
    <w:p w:rsidR="005C7137" w:rsidRDefault="00D22392" w:rsidP="00BC5B4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commit to the College’s Safeguarding Policy and promote a safe environment for children, young people and vulne</w:t>
      </w:r>
      <w:r w:rsidR="00614502" w:rsidRPr="005C7137">
        <w:rPr>
          <w:rFonts w:ascii="Arial" w:hAnsi="Arial" w:cs="Arial"/>
          <w:sz w:val="24"/>
          <w:szCs w:val="24"/>
        </w:rPr>
        <w:t>rable adults within the College.</w:t>
      </w:r>
    </w:p>
    <w:p w:rsidR="00B346E9" w:rsidRPr="005C7137" w:rsidRDefault="00B346E9" w:rsidP="005C713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b/>
          <w:bCs/>
          <w:sz w:val="24"/>
          <w:szCs w:val="24"/>
        </w:rPr>
        <w:t>Specifically, the post holder's responsibilities will be as follows:</w:t>
      </w:r>
    </w:p>
    <w:p w:rsidR="00D22392" w:rsidRPr="005C7137" w:rsidRDefault="00D22392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42A86" w:rsidRPr="005C7137" w:rsidRDefault="00ED7683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 xml:space="preserve">To work as part of a team to </w:t>
      </w:r>
      <w:r w:rsidR="00880222" w:rsidRPr="005C7137">
        <w:rPr>
          <w:rFonts w:ascii="Arial" w:hAnsi="Arial" w:cs="Arial"/>
          <w:bCs/>
          <w:sz w:val="24"/>
          <w:szCs w:val="24"/>
        </w:rPr>
        <w:t xml:space="preserve">provide pro-active and assertive support to </w:t>
      </w:r>
      <w:r w:rsidRPr="005C7137">
        <w:rPr>
          <w:rFonts w:ascii="Arial" w:hAnsi="Arial" w:cs="Arial"/>
          <w:bCs/>
          <w:sz w:val="24"/>
          <w:szCs w:val="24"/>
        </w:rPr>
        <w:t>students to overcome barriers to maximise their attendance and punctuality to ensure achievement and progression.</w:t>
      </w:r>
    </w:p>
    <w:p w:rsidR="00880222" w:rsidRPr="005C7137" w:rsidRDefault="00880222" w:rsidP="0088022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0222" w:rsidRPr="005C7137" w:rsidRDefault="00880222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To devise and undertake a range of strategies to improve student attendance.</w:t>
      </w:r>
    </w:p>
    <w:p w:rsidR="00ED7683" w:rsidRPr="005C7137" w:rsidRDefault="00ED7683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0222" w:rsidRPr="005C7137" w:rsidRDefault="00742A86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To be the main poin</w:t>
      </w:r>
      <w:r w:rsidR="003B68A6" w:rsidRPr="005C7137">
        <w:rPr>
          <w:rFonts w:ascii="Arial" w:hAnsi="Arial" w:cs="Arial"/>
          <w:bCs/>
          <w:sz w:val="24"/>
          <w:szCs w:val="24"/>
        </w:rPr>
        <w:t xml:space="preserve">t of contact in relation to </w:t>
      </w:r>
      <w:r w:rsidRPr="005C7137">
        <w:rPr>
          <w:rFonts w:ascii="Arial" w:hAnsi="Arial" w:cs="Arial"/>
          <w:bCs/>
          <w:sz w:val="24"/>
          <w:szCs w:val="24"/>
        </w:rPr>
        <w:t>student pu</w:t>
      </w:r>
      <w:r w:rsidR="003B68A6" w:rsidRPr="005C7137">
        <w:rPr>
          <w:rFonts w:ascii="Arial" w:hAnsi="Arial" w:cs="Arial"/>
          <w:bCs/>
          <w:sz w:val="24"/>
          <w:szCs w:val="24"/>
        </w:rPr>
        <w:t>nctuality and attendance iss</w:t>
      </w:r>
      <w:r w:rsidR="00880222" w:rsidRPr="005C7137">
        <w:rPr>
          <w:rFonts w:ascii="Arial" w:hAnsi="Arial" w:cs="Arial"/>
          <w:bCs/>
          <w:sz w:val="24"/>
          <w:szCs w:val="24"/>
        </w:rPr>
        <w:t>ues for an allocated department.</w:t>
      </w:r>
    </w:p>
    <w:p w:rsidR="00880222" w:rsidRPr="005C7137" w:rsidRDefault="00880222" w:rsidP="00880222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742A86" w:rsidRPr="005C7137" w:rsidRDefault="00880222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Work closely with Heads</w:t>
      </w:r>
      <w:r w:rsidR="00216B6D" w:rsidRPr="005C7137">
        <w:rPr>
          <w:rFonts w:ascii="Arial" w:hAnsi="Arial" w:cs="Arial"/>
          <w:bCs/>
          <w:sz w:val="24"/>
          <w:szCs w:val="24"/>
        </w:rPr>
        <w:t>/Associate Directors</w:t>
      </w:r>
      <w:r w:rsidRPr="005C7137">
        <w:rPr>
          <w:rFonts w:ascii="Arial" w:hAnsi="Arial" w:cs="Arial"/>
          <w:bCs/>
          <w:sz w:val="24"/>
          <w:szCs w:val="24"/>
        </w:rPr>
        <w:t xml:space="preserve"> of Quality and Personal Tutors to implement effective strategies and ensure there is the necessary interchange of information and consistency of systems and procedures to ensure that each student feels supported.</w:t>
      </w:r>
    </w:p>
    <w:p w:rsidR="00F04A55" w:rsidRPr="005C7137" w:rsidRDefault="00F04A55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04A55" w:rsidRPr="005C7137" w:rsidRDefault="00F04A55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 xml:space="preserve">To contact (by telephone / email / letter) students and their parents / carers </w:t>
      </w:r>
      <w:r w:rsidR="001D59BF">
        <w:rPr>
          <w:rFonts w:ascii="Arial" w:hAnsi="Arial" w:cs="Arial"/>
          <w:bCs/>
          <w:sz w:val="24"/>
          <w:szCs w:val="24"/>
        </w:rPr>
        <w:t>following</w:t>
      </w:r>
      <w:r w:rsidRPr="005C7137">
        <w:rPr>
          <w:rFonts w:ascii="Arial" w:hAnsi="Arial" w:cs="Arial"/>
          <w:bCs/>
          <w:sz w:val="24"/>
          <w:szCs w:val="24"/>
        </w:rPr>
        <w:t xml:space="preserve"> absence.</w:t>
      </w:r>
    </w:p>
    <w:p w:rsidR="00F04A55" w:rsidRPr="005C7137" w:rsidRDefault="00F04A55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42A86" w:rsidRPr="005C7137" w:rsidRDefault="00F04A55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 xml:space="preserve">To </w:t>
      </w:r>
      <w:r w:rsidR="003B68A6" w:rsidRPr="005C7137">
        <w:rPr>
          <w:rFonts w:ascii="Arial" w:hAnsi="Arial" w:cs="Arial"/>
          <w:bCs/>
          <w:sz w:val="24"/>
          <w:szCs w:val="24"/>
        </w:rPr>
        <w:t>identify</w:t>
      </w:r>
      <w:r w:rsidRPr="005C7137">
        <w:rPr>
          <w:rFonts w:ascii="Arial" w:hAnsi="Arial" w:cs="Arial"/>
          <w:bCs/>
          <w:sz w:val="24"/>
          <w:szCs w:val="24"/>
        </w:rPr>
        <w:t xml:space="preserve"> and </w:t>
      </w:r>
      <w:r w:rsidR="003B68A6" w:rsidRPr="005C7137">
        <w:rPr>
          <w:rFonts w:ascii="Arial" w:hAnsi="Arial" w:cs="Arial"/>
          <w:bCs/>
          <w:sz w:val="24"/>
          <w:szCs w:val="24"/>
        </w:rPr>
        <w:t xml:space="preserve">monitor </w:t>
      </w:r>
      <w:r w:rsidRPr="005C7137">
        <w:rPr>
          <w:rFonts w:ascii="Arial" w:hAnsi="Arial" w:cs="Arial"/>
          <w:bCs/>
          <w:sz w:val="24"/>
          <w:szCs w:val="24"/>
        </w:rPr>
        <w:t>a f</w:t>
      </w:r>
      <w:r w:rsidR="003B68A6" w:rsidRPr="005C7137">
        <w:rPr>
          <w:rFonts w:ascii="Arial" w:hAnsi="Arial" w:cs="Arial"/>
          <w:bCs/>
          <w:sz w:val="24"/>
          <w:szCs w:val="24"/>
        </w:rPr>
        <w:t xml:space="preserve">lexible caseload of students and </w:t>
      </w:r>
      <w:r w:rsidR="00742A86" w:rsidRPr="005C7137">
        <w:rPr>
          <w:rFonts w:ascii="Arial" w:hAnsi="Arial" w:cs="Arial"/>
          <w:bCs/>
          <w:sz w:val="24"/>
          <w:szCs w:val="24"/>
        </w:rPr>
        <w:t>take appropriate action to improve attendance and punctuality.</w:t>
      </w:r>
    </w:p>
    <w:p w:rsidR="003B68A6" w:rsidRPr="005C7137" w:rsidRDefault="003B68A6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7683" w:rsidRPr="005C7137" w:rsidRDefault="00ED7683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Li</w:t>
      </w:r>
      <w:r w:rsidR="00880222" w:rsidRPr="005C7137">
        <w:rPr>
          <w:rFonts w:ascii="Arial" w:hAnsi="Arial" w:cs="Arial"/>
          <w:bCs/>
          <w:sz w:val="24"/>
          <w:szCs w:val="24"/>
        </w:rPr>
        <w:t>aise and refer students to the S</w:t>
      </w:r>
      <w:r w:rsidRPr="005C7137">
        <w:rPr>
          <w:rFonts w:ascii="Arial" w:hAnsi="Arial" w:cs="Arial"/>
          <w:bCs/>
          <w:sz w:val="24"/>
          <w:szCs w:val="24"/>
        </w:rPr>
        <w:t>afeguarding and Welfare Officer</w:t>
      </w:r>
      <w:r w:rsidR="00880222" w:rsidRPr="005C7137">
        <w:rPr>
          <w:rFonts w:ascii="Arial" w:hAnsi="Arial" w:cs="Arial"/>
          <w:bCs/>
          <w:sz w:val="24"/>
          <w:szCs w:val="24"/>
        </w:rPr>
        <w:t xml:space="preserve"> / Careers Team</w:t>
      </w:r>
      <w:r w:rsidRPr="005C7137">
        <w:rPr>
          <w:rFonts w:ascii="Arial" w:hAnsi="Arial" w:cs="Arial"/>
          <w:bCs/>
          <w:sz w:val="24"/>
          <w:szCs w:val="24"/>
        </w:rPr>
        <w:t xml:space="preserve"> for specialist support and guidance</w:t>
      </w:r>
      <w:r w:rsidR="00880222" w:rsidRPr="005C7137">
        <w:rPr>
          <w:rFonts w:ascii="Arial" w:hAnsi="Arial" w:cs="Arial"/>
          <w:bCs/>
          <w:sz w:val="24"/>
          <w:szCs w:val="24"/>
        </w:rPr>
        <w:t xml:space="preserve"> as appropriate</w:t>
      </w:r>
      <w:r w:rsidRPr="005C7137">
        <w:rPr>
          <w:rFonts w:ascii="Arial" w:hAnsi="Arial" w:cs="Arial"/>
          <w:bCs/>
          <w:sz w:val="24"/>
          <w:szCs w:val="24"/>
        </w:rPr>
        <w:t>.</w:t>
      </w:r>
    </w:p>
    <w:p w:rsidR="00ED7683" w:rsidRPr="005C7137" w:rsidRDefault="00ED7683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346E9" w:rsidRPr="005C7137" w:rsidRDefault="003B68A6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Develop excellent working partnerships with students and parents / carers to promote the importance of good attendance and punctuality.</w:t>
      </w:r>
    </w:p>
    <w:p w:rsidR="00B346E9" w:rsidRPr="005C7137" w:rsidRDefault="00B346E9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346E9" w:rsidRPr="005C7137" w:rsidRDefault="003B68A6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 xml:space="preserve">Arrange </w:t>
      </w:r>
      <w:r w:rsidR="0005657B" w:rsidRPr="005C7137">
        <w:rPr>
          <w:rFonts w:ascii="Arial" w:hAnsi="Arial" w:cs="Arial"/>
          <w:bCs/>
          <w:sz w:val="24"/>
          <w:szCs w:val="24"/>
        </w:rPr>
        <w:t xml:space="preserve">review and performance improvement </w:t>
      </w:r>
      <w:r w:rsidRPr="005C7137">
        <w:rPr>
          <w:rFonts w:ascii="Arial" w:hAnsi="Arial" w:cs="Arial"/>
          <w:bCs/>
          <w:sz w:val="24"/>
          <w:szCs w:val="24"/>
        </w:rPr>
        <w:t>meetings with students and parents / carers and other College staff as appropriate within the remit of improving attendance and punctuality.</w:t>
      </w:r>
    </w:p>
    <w:p w:rsidR="00ED7683" w:rsidRPr="005C7137" w:rsidRDefault="00ED7683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7683" w:rsidRPr="005C7137" w:rsidRDefault="00ED7683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Implement student action and improvement plans.</w:t>
      </w:r>
    </w:p>
    <w:p w:rsidR="003B68A6" w:rsidRPr="005C7137" w:rsidRDefault="003B68A6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B68A6" w:rsidRPr="005C7137" w:rsidRDefault="0005657B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Keep detailed and systematic records of all interventions.</w:t>
      </w:r>
    </w:p>
    <w:p w:rsidR="00ED7683" w:rsidRPr="005C7137" w:rsidRDefault="00ED7683" w:rsidP="003B6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7683" w:rsidRPr="005C7137" w:rsidRDefault="00ED7683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Provided detailed reports on the impact of interventions.</w:t>
      </w:r>
    </w:p>
    <w:p w:rsidR="00ED7683" w:rsidRPr="005C7137" w:rsidRDefault="00ED7683" w:rsidP="003B6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7683" w:rsidRPr="005C7137" w:rsidRDefault="00ED7683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Attend internal and external meetings as required.</w:t>
      </w:r>
    </w:p>
    <w:p w:rsidR="005A78ED" w:rsidRPr="005C7137" w:rsidRDefault="005A78ED" w:rsidP="005A78ED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5A78ED" w:rsidRPr="005C7137" w:rsidRDefault="005A78ED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Have a high profile input to induction, tutorial programme and transition activities to promote positive ethos and high expectations.</w:t>
      </w:r>
    </w:p>
    <w:p w:rsidR="003B68A6" w:rsidRPr="005C7137" w:rsidRDefault="003B68A6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346E9" w:rsidRPr="005C7137" w:rsidRDefault="00B346E9" w:rsidP="00EB5E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actively show a commitment to the Departmental Strategic Objectives.</w:t>
      </w:r>
    </w:p>
    <w:p w:rsidR="00EB5E4C" w:rsidRPr="005C7137" w:rsidRDefault="00EB5E4C" w:rsidP="00EB5E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346E9" w:rsidRPr="005C7137" w:rsidRDefault="00B346E9" w:rsidP="00EB5E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show an active commitment to the College's Equality and Diversity Policy, Quality Frameworks and Health &amp; Safety Procedures.</w:t>
      </w:r>
    </w:p>
    <w:p w:rsidR="00EB5E4C" w:rsidRPr="005C7137" w:rsidRDefault="00EB5E4C" w:rsidP="00EB5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E4C" w:rsidRPr="005C7137" w:rsidRDefault="00B346E9" w:rsidP="00EB5E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actively participate in Continuous Professional Development including the introduction of new technologies to allow you to contribute effectively to the success of the College.</w:t>
      </w:r>
    </w:p>
    <w:p w:rsidR="00EB5E4C" w:rsidRPr="005C7137" w:rsidRDefault="00EB5E4C" w:rsidP="00EB5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6E9" w:rsidRPr="005C7137" w:rsidRDefault="00B346E9" w:rsidP="00EB5E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carry out such other appropriate duties commensurate with your skills, knowledge and experience.</w:t>
      </w:r>
    </w:p>
    <w:p w:rsidR="00EB5E4C" w:rsidRPr="005C7137" w:rsidRDefault="00EB5E4C" w:rsidP="00EB5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6E9" w:rsidRPr="005C7137" w:rsidRDefault="00B346E9" w:rsidP="00B346E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The College may, in consultation with you, need to vary these duties from time to time in order to respond to the changing requirements of the College.</w:t>
      </w:r>
    </w:p>
    <w:p w:rsidR="00EB5E4C" w:rsidRPr="005C7137" w:rsidRDefault="00EB5E4C" w:rsidP="00EB5E4C">
      <w:pPr>
        <w:pStyle w:val="ListParagraph"/>
        <w:rPr>
          <w:rFonts w:ascii="Arial" w:hAnsi="Arial" w:cs="Arial"/>
          <w:sz w:val="24"/>
          <w:szCs w:val="24"/>
        </w:rPr>
      </w:pPr>
    </w:p>
    <w:p w:rsidR="00EB5E4C" w:rsidRPr="005C7137" w:rsidRDefault="00EB5E4C" w:rsidP="00EB5E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346E9" w:rsidRPr="005C7137" w:rsidRDefault="00B346E9" w:rsidP="00B346E9">
      <w:pPr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346E9" w:rsidRPr="005C7137" w:rsidRDefault="00B346E9" w:rsidP="00840554">
      <w:pPr>
        <w:rPr>
          <w:rFonts w:ascii="Arial" w:hAnsi="Arial" w:cs="Arial"/>
          <w:b/>
          <w:sz w:val="24"/>
          <w:szCs w:val="24"/>
        </w:rPr>
      </w:pPr>
      <w:r w:rsidRPr="005C7137">
        <w:rPr>
          <w:rFonts w:ascii="Arial" w:hAnsi="Arial" w:cs="Arial"/>
          <w:b/>
          <w:sz w:val="24"/>
          <w:szCs w:val="24"/>
        </w:rPr>
        <w:t>Signed:  __________________________________ Date:  ________</w:t>
      </w:r>
    </w:p>
    <w:p w:rsidR="00840554" w:rsidRPr="005C7137" w:rsidRDefault="00840554" w:rsidP="00840554">
      <w:pPr>
        <w:rPr>
          <w:rFonts w:ascii="Arial" w:hAnsi="Arial" w:cs="Arial"/>
          <w:b/>
          <w:sz w:val="24"/>
          <w:szCs w:val="24"/>
        </w:rPr>
      </w:pPr>
    </w:p>
    <w:p w:rsidR="00D22392" w:rsidRPr="005C7137" w:rsidRDefault="00D22392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40554" w:rsidRPr="005C7137" w:rsidRDefault="00840554" w:rsidP="00840554">
      <w:pPr>
        <w:rPr>
          <w:rFonts w:ascii="Arial" w:hAnsi="Arial" w:cs="Arial"/>
          <w:b/>
          <w:sz w:val="24"/>
          <w:szCs w:val="24"/>
        </w:rPr>
      </w:pPr>
      <w:r w:rsidRPr="005C7137">
        <w:rPr>
          <w:rFonts w:ascii="Arial" w:hAnsi="Arial" w:cs="Arial"/>
          <w:b/>
          <w:sz w:val="24"/>
          <w:szCs w:val="24"/>
        </w:rPr>
        <w:t xml:space="preserve">Person Specification </w:t>
      </w:r>
    </w:p>
    <w:p w:rsidR="00BA118C" w:rsidRDefault="00BA118C" w:rsidP="00840554">
      <w:pPr>
        <w:rPr>
          <w:rFonts w:ascii="Arial" w:hAnsi="Arial" w:cs="Arial"/>
          <w:b/>
          <w:sz w:val="24"/>
          <w:szCs w:val="24"/>
        </w:rPr>
      </w:pPr>
    </w:p>
    <w:p w:rsidR="001D59BF" w:rsidRPr="005C7137" w:rsidRDefault="001D59BF" w:rsidP="00840554">
      <w:pPr>
        <w:rPr>
          <w:rFonts w:ascii="Arial" w:hAnsi="Arial" w:cs="Arial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50"/>
        <w:gridCol w:w="4320"/>
        <w:gridCol w:w="2700"/>
      </w:tblGrid>
      <w:tr w:rsidR="00840554" w:rsidRPr="005C7137" w:rsidTr="0084055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5C7137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Criteria Description</w:t>
            </w:r>
          </w:p>
          <w:p w:rsidR="00840554" w:rsidRPr="005C7137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840554" w:rsidRPr="005C7137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1. Skills and Abilities</w:t>
            </w:r>
          </w:p>
        </w:tc>
      </w:tr>
      <w:tr w:rsidR="00BA118C" w:rsidRPr="005C7137" w:rsidTr="007600B4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 xml:space="preserve">Excellent organisational skills and the ability to prioritise and work effectively under pressure </w:t>
            </w:r>
            <w:r>
              <w:rPr>
                <w:rFonts w:ascii="Arial" w:hAnsi="Arial" w:cs="Arial"/>
                <w:sz w:val="24"/>
                <w:szCs w:val="24"/>
              </w:rPr>
              <w:t>both from</w:t>
            </w:r>
            <w:r w:rsidRPr="005C7137">
              <w:rPr>
                <w:rFonts w:ascii="Arial" w:hAnsi="Arial" w:cs="Arial"/>
                <w:sz w:val="24"/>
                <w:szCs w:val="24"/>
              </w:rPr>
              <w:t xml:space="preserve"> own initiative and as part of a team.</w:t>
            </w:r>
          </w:p>
          <w:p w:rsidR="00BA118C" w:rsidRPr="005C7137" w:rsidRDefault="00BA118C" w:rsidP="002E667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BA118C" w:rsidRPr="005C7137" w:rsidTr="007600B4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Excellent communication skills and the ability to interact positively with young people and their parents /carers and to work successfully with colleagues at all levels of the organisation.</w:t>
            </w:r>
          </w:p>
          <w:p w:rsidR="00BA118C" w:rsidRPr="005C7137" w:rsidRDefault="00BA118C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7600B4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 xml:space="preserve">Ability monitor and produce accurate and timely reports on relevant statistical information. </w:t>
            </w:r>
          </w:p>
          <w:p w:rsidR="00BA118C" w:rsidRPr="005C7137" w:rsidRDefault="00BA118C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7600B4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 w:rsidP="002767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 xml:space="preserve">Excellent IT skills and experience in the use of Microsoft Office packages including, desirably </w:t>
            </w:r>
            <w:proofErr w:type="spellStart"/>
            <w:r w:rsidRPr="005C7137">
              <w:rPr>
                <w:rFonts w:ascii="Arial" w:hAnsi="Arial" w:cs="Arial"/>
                <w:sz w:val="24"/>
                <w:szCs w:val="24"/>
              </w:rPr>
              <w:t>ProSolution</w:t>
            </w:r>
            <w:proofErr w:type="spellEnd"/>
            <w:r w:rsidRPr="005C7137">
              <w:rPr>
                <w:rFonts w:ascii="Arial" w:hAnsi="Arial" w:cs="Arial"/>
                <w:sz w:val="24"/>
                <w:szCs w:val="24"/>
              </w:rPr>
              <w:t xml:space="preserve"> and ProMonitor</w:t>
            </w:r>
          </w:p>
          <w:p w:rsidR="00BA118C" w:rsidRPr="005C7137" w:rsidRDefault="00BA118C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7600B4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Default="00BA118C" w:rsidP="002767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Excellent record keeping skills and the ability to produce written reports to a high standard.</w:t>
            </w:r>
          </w:p>
          <w:p w:rsidR="001D59BF" w:rsidRPr="005C7137" w:rsidRDefault="001D59BF" w:rsidP="002767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2. Qualifications and Training</w:t>
            </w:r>
          </w:p>
        </w:tc>
      </w:tr>
      <w:tr w:rsidR="005C7137" w:rsidRPr="005C7137" w:rsidTr="008A0C8D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137" w:rsidRP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7" w:rsidRP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7" w:rsidRDefault="005C7137" w:rsidP="001D59B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Minimum Level 3 qual</w:t>
            </w:r>
            <w:r w:rsidR="001D59BF">
              <w:rPr>
                <w:rFonts w:ascii="Arial" w:hAnsi="Arial" w:cs="Arial"/>
                <w:sz w:val="24"/>
                <w:szCs w:val="24"/>
              </w:rPr>
              <w:t>ification in a relevant subject.</w:t>
            </w:r>
          </w:p>
          <w:p w:rsidR="001D59BF" w:rsidRPr="005C7137" w:rsidRDefault="001D59BF" w:rsidP="001D59B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37" w:rsidRP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Application/Verification of original certificates</w:t>
            </w:r>
          </w:p>
        </w:tc>
      </w:tr>
      <w:tr w:rsidR="005C7137" w:rsidRPr="005C7137" w:rsidTr="008A0C8D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37" w:rsidRPr="005C7137" w:rsidRDefault="005C7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7" w:rsidRP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7" w:rsidRP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Grade C or above in Maths and English (or equivalent)</w:t>
            </w:r>
          </w:p>
          <w:p w:rsidR="005C7137" w:rsidRP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37" w:rsidRPr="005C7137" w:rsidRDefault="005C7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2E66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5C7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C3" w:rsidRDefault="00840554" w:rsidP="00521C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Qua</w:t>
            </w:r>
            <w:r w:rsidR="00835C60" w:rsidRPr="005C7137">
              <w:rPr>
                <w:rFonts w:ascii="Arial" w:hAnsi="Arial" w:cs="Arial"/>
                <w:sz w:val="24"/>
                <w:szCs w:val="24"/>
              </w:rPr>
              <w:t>lifications in Microsoft Office.</w:t>
            </w:r>
          </w:p>
          <w:p w:rsidR="001D59BF" w:rsidRPr="005C7137" w:rsidRDefault="001D59BF" w:rsidP="00521C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3. Attitude / Disposition</w:t>
            </w:r>
          </w:p>
        </w:tc>
      </w:tr>
      <w:tr w:rsidR="00BA118C" w:rsidRPr="005C7137" w:rsidTr="00D7504D">
        <w:trPr>
          <w:trHeight w:val="87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 w:rsidP="00BC2C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inter</w:t>
            </w:r>
            <w:r w:rsidRPr="005C7137">
              <w:rPr>
                <w:rFonts w:ascii="Arial" w:hAnsi="Arial" w:cs="Arial"/>
                <w:sz w:val="24"/>
                <w:szCs w:val="24"/>
              </w:rPr>
              <w:t xml:space="preserve">personal skills with the ability to develop positive relationships at all levels both internally and externally to the College. </w:t>
            </w:r>
          </w:p>
          <w:p w:rsidR="00BA118C" w:rsidRPr="005C7137" w:rsidRDefault="00BA118C" w:rsidP="00BC2C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Application/Interview/</w:t>
            </w:r>
          </w:p>
          <w:p w:rsidR="00BA118C" w:rsidRPr="005C7137" w:rsidRDefault="00BA118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BA118C" w:rsidRPr="005C7137" w:rsidTr="00D7504D">
        <w:trPr>
          <w:trHeight w:val="538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Highly motivated and confident and the ability to motivate and inspire others.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D7504D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 w:rsidP="00BC2C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 positive attitude to students and their parents /carers.</w:t>
            </w:r>
          </w:p>
          <w:p w:rsidR="00BA118C" w:rsidRPr="005C7137" w:rsidRDefault="00BA118C" w:rsidP="00BC2C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D7504D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Commitment to excellence and to student success and positive progression.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D7504D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F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Ability to be resilient when situations are challenging.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D7504D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F" w:rsidRPr="005C7137" w:rsidRDefault="00BA118C" w:rsidP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 xml:space="preserve">A high level of personal integrity with </w:t>
            </w:r>
            <w:r>
              <w:rPr>
                <w:rFonts w:ascii="Arial" w:hAnsi="Arial" w:cs="Arial"/>
                <w:sz w:val="24"/>
                <w:szCs w:val="24"/>
              </w:rPr>
              <w:t>evid</w:t>
            </w:r>
            <w:r w:rsidRPr="005C7137">
              <w:rPr>
                <w:rFonts w:ascii="Arial" w:hAnsi="Arial" w:cs="Arial"/>
                <w:sz w:val="24"/>
                <w:szCs w:val="24"/>
              </w:rPr>
              <w:t>ence of handling sensitive situations with tact and diplomacy and with complete regard for confidentiality.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554" w:rsidRPr="005C7137" w:rsidRDefault="00840554" w:rsidP="00840554">
      <w:pPr>
        <w:spacing w:before="40" w:after="40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50"/>
        <w:gridCol w:w="4320"/>
        <w:gridCol w:w="2700"/>
      </w:tblGrid>
      <w:tr w:rsidR="00840554" w:rsidRPr="005C7137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40554" w:rsidRPr="005C7137">
              <w:rPr>
                <w:rFonts w:ascii="Arial" w:hAnsi="Arial" w:cs="Arial"/>
                <w:b/>
                <w:sz w:val="24"/>
                <w:szCs w:val="24"/>
              </w:rPr>
              <w:t>. Knowledge</w:t>
            </w:r>
          </w:p>
        </w:tc>
      </w:tr>
      <w:tr w:rsidR="00BA118C" w:rsidRPr="005C7137" w:rsidTr="0001565C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C713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Thorough understanding of the barriers to learning faced by students.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  <w:p w:rsidR="00BA118C" w:rsidRPr="005C7137" w:rsidRDefault="00BA118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01565C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C7137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 w:rsidP="0030014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Knowledge of strategies to engage and motivate learners and effective ways of managing student attendance.</w:t>
            </w:r>
          </w:p>
          <w:p w:rsidR="00BA118C" w:rsidRPr="005C7137" w:rsidRDefault="00BA118C" w:rsidP="0030014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01565C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C7137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Knowledge of the Education Inspection Framework.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01565C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Knowledge and understanding of safeguarding principles and student welfare issues and of external agency support.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40554" w:rsidRPr="005C7137">
              <w:rPr>
                <w:rFonts w:ascii="Arial" w:hAnsi="Arial" w:cs="Arial"/>
                <w:b/>
                <w:sz w:val="24"/>
                <w:szCs w:val="24"/>
              </w:rPr>
              <w:t>. Experience</w:t>
            </w:r>
          </w:p>
        </w:tc>
      </w:tr>
      <w:tr w:rsidR="00840554" w:rsidRPr="005C7137" w:rsidTr="006E488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E488B" w:rsidRPr="005C713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AD681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 xml:space="preserve">Experience of working with </w:t>
            </w:r>
            <w:r w:rsidR="006E488B" w:rsidRPr="005C7137">
              <w:rPr>
                <w:rFonts w:ascii="Arial" w:hAnsi="Arial" w:cs="Arial"/>
                <w:sz w:val="24"/>
                <w:szCs w:val="24"/>
              </w:rPr>
              <w:t xml:space="preserve">and supporting </w:t>
            </w:r>
            <w:r w:rsidRPr="005C7137">
              <w:rPr>
                <w:rFonts w:ascii="Arial" w:hAnsi="Arial" w:cs="Arial"/>
                <w:sz w:val="24"/>
                <w:szCs w:val="24"/>
              </w:rPr>
              <w:t>vulnerable and at risk young people and their families.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6E488B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E488B" w:rsidRPr="005C7137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E91E5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Experience of managing complex caseloads.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6E488B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E488B" w:rsidRPr="005C7137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57" w:rsidRPr="005C7137" w:rsidRDefault="00E91E5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Previous experience of working with young people in an educational establishment and of coaching, mentoring and providing effective support to students.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554" w:rsidRPr="005C7137" w:rsidRDefault="00840554" w:rsidP="00840554">
      <w:pPr>
        <w:spacing w:before="40" w:after="40"/>
        <w:rPr>
          <w:rFonts w:ascii="Arial" w:hAnsi="Arial" w:cs="Arial"/>
          <w:sz w:val="24"/>
          <w:szCs w:val="24"/>
        </w:rPr>
      </w:pPr>
    </w:p>
    <w:p w:rsidR="00840554" w:rsidRPr="005C7137" w:rsidRDefault="00840554" w:rsidP="00840554">
      <w:pPr>
        <w:rPr>
          <w:rFonts w:ascii="Arial" w:hAnsi="Arial" w:cs="Arial"/>
          <w:sz w:val="24"/>
          <w:szCs w:val="24"/>
        </w:rPr>
      </w:pPr>
    </w:p>
    <w:p w:rsidR="00840554" w:rsidRPr="005C7137" w:rsidRDefault="00840554" w:rsidP="00840554">
      <w:pPr>
        <w:rPr>
          <w:rFonts w:ascii="Arial" w:hAnsi="Arial" w:cs="Arial"/>
          <w:sz w:val="24"/>
          <w:szCs w:val="24"/>
        </w:rPr>
      </w:pPr>
    </w:p>
    <w:p w:rsidR="00840554" w:rsidRPr="005C7137" w:rsidRDefault="00840554" w:rsidP="00840554">
      <w:pPr>
        <w:rPr>
          <w:rFonts w:ascii="Arial" w:hAnsi="Arial" w:cs="Arial"/>
          <w:sz w:val="24"/>
          <w:szCs w:val="24"/>
        </w:rPr>
      </w:pPr>
    </w:p>
    <w:p w:rsidR="00840554" w:rsidRPr="005C7137" w:rsidRDefault="00840554" w:rsidP="00840554">
      <w:pPr>
        <w:rPr>
          <w:rFonts w:ascii="Arial" w:hAnsi="Arial" w:cs="Arial"/>
          <w:sz w:val="24"/>
          <w:szCs w:val="24"/>
        </w:rPr>
      </w:pPr>
    </w:p>
    <w:p w:rsidR="00B346E9" w:rsidRPr="005C7137" w:rsidRDefault="00B346E9" w:rsidP="00B346E9">
      <w:pPr>
        <w:rPr>
          <w:rFonts w:ascii="Arial" w:hAnsi="Arial" w:cs="Arial"/>
          <w:b/>
          <w:sz w:val="24"/>
          <w:szCs w:val="24"/>
          <w:u w:val="single"/>
        </w:rPr>
      </w:pPr>
    </w:p>
    <w:p w:rsidR="002A289C" w:rsidRPr="005C7137" w:rsidRDefault="002A289C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B346E9" w:rsidRPr="005C7137" w:rsidRDefault="00B346E9" w:rsidP="00B346E9">
      <w:pPr>
        <w:rPr>
          <w:rFonts w:ascii="Arial" w:hAnsi="Arial" w:cs="Arial"/>
          <w:sz w:val="24"/>
          <w:szCs w:val="24"/>
        </w:rPr>
      </w:pPr>
    </w:p>
    <w:p w:rsidR="006E488B" w:rsidRPr="005C7137" w:rsidRDefault="006E488B" w:rsidP="00B346E9">
      <w:pPr>
        <w:rPr>
          <w:rFonts w:ascii="Arial" w:hAnsi="Arial" w:cs="Arial"/>
          <w:sz w:val="24"/>
          <w:szCs w:val="24"/>
        </w:rPr>
      </w:pPr>
    </w:p>
    <w:p w:rsidR="006E488B" w:rsidRPr="005C7137" w:rsidRDefault="006E488B" w:rsidP="00B346E9">
      <w:pPr>
        <w:rPr>
          <w:rFonts w:ascii="Arial" w:hAnsi="Arial" w:cs="Arial"/>
          <w:sz w:val="24"/>
          <w:szCs w:val="24"/>
        </w:rPr>
      </w:pPr>
    </w:p>
    <w:p w:rsidR="00B346E9" w:rsidRPr="005C7137" w:rsidRDefault="00B346E9" w:rsidP="00B346E9">
      <w:pPr>
        <w:rPr>
          <w:rFonts w:ascii="Arial" w:hAnsi="Arial" w:cs="Arial"/>
          <w:b/>
          <w:sz w:val="24"/>
          <w:szCs w:val="24"/>
        </w:rPr>
      </w:pPr>
      <w:r w:rsidRPr="005C7137">
        <w:rPr>
          <w:rFonts w:ascii="Arial" w:hAnsi="Arial" w:cs="Arial"/>
          <w:b/>
          <w:bCs/>
          <w:sz w:val="24"/>
          <w:szCs w:val="24"/>
        </w:rPr>
        <w:t>Contract Arrangements</w:t>
      </w:r>
    </w:p>
    <w:p w:rsidR="00B346E9" w:rsidRPr="005C7137" w:rsidRDefault="00B346E9" w:rsidP="00B346E9">
      <w:pPr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Staff will be engaged under a Contract of Employment determined by Northern Skills Group Business Services, supported by Contract Guidelines. The following salient features will apply:</w:t>
      </w:r>
    </w:p>
    <w:p w:rsidR="00B346E9" w:rsidRPr="005C7137" w:rsidRDefault="00B346E9" w:rsidP="00B346E9">
      <w:pPr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b/>
          <w:sz w:val="24"/>
          <w:szCs w:val="24"/>
        </w:rPr>
        <w:tab/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834"/>
        <w:gridCol w:w="5604"/>
      </w:tblGrid>
      <w:tr w:rsidR="00B346E9" w:rsidRPr="005C7137" w:rsidTr="00B346E9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Contract type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NSG Business Services</w:t>
            </w:r>
          </w:p>
        </w:tc>
      </w:tr>
      <w:tr w:rsidR="00B346E9" w:rsidRPr="005C7137" w:rsidTr="00B346E9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9" w:rsidRPr="005C7137" w:rsidRDefault="00B346E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346E9" w:rsidRPr="005C7137" w:rsidTr="00B346E9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1D59BF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9B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1D59BF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9BF">
              <w:rPr>
                <w:rFonts w:ascii="Arial" w:hAnsi="Arial" w:cs="Arial"/>
                <w:sz w:val="24"/>
                <w:szCs w:val="24"/>
              </w:rPr>
              <w:t>Working week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1D59BF" w:rsidRDefault="001D59BF" w:rsidP="001D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9BF">
              <w:rPr>
                <w:rFonts w:ascii="Arial" w:hAnsi="Arial" w:cs="Arial"/>
                <w:sz w:val="24"/>
                <w:szCs w:val="24"/>
              </w:rPr>
              <w:t>35 hours, Term</w:t>
            </w:r>
            <w:r w:rsidR="003B68A6" w:rsidRPr="001D59BF">
              <w:rPr>
                <w:rFonts w:ascii="Arial" w:hAnsi="Arial" w:cs="Arial"/>
                <w:sz w:val="24"/>
                <w:szCs w:val="24"/>
              </w:rPr>
              <w:t xml:space="preserve"> Time </w:t>
            </w:r>
            <w:r w:rsidRPr="001D59BF">
              <w:rPr>
                <w:rFonts w:ascii="Arial" w:hAnsi="Arial" w:cs="Arial"/>
                <w:sz w:val="24"/>
                <w:szCs w:val="24"/>
              </w:rPr>
              <w:t>Only (40 weeks)</w:t>
            </w:r>
          </w:p>
        </w:tc>
      </w:tr>
      <w:tr w:rsidR="00B346E9" w:rsidRPr="005C7137" w:rsidTr="00B346E9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E9" w:rsidRPr="005C7137" w:rsidTr="00B346E9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Holiday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5C713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Colleagues are entitled to 25 days (FTE) annual leave plus statutory holidays.  Annual leave is a service related entitlement, which will increase as below and come into effect from the 1</w:t>
            </w:r>
            <w:r w:rsidRPr="005C7137">
              <w:rPr>
                <w:rFonts w:ascii="Arial" w:hAnsi="Arial" w:cs="Arial"/>
                <w:snapToGrid w:val="0"/>
                <w:sz w:val="24"/>
                <w:szCs w:val="24"/>
                <w:vertAlign w:val="superscript"/>
                <w:lang w:val="en-US"/>
              </w:rPr>
              <w:t>st</w:t>
            </w:r>
            <w:r w:rsidRPr="005C713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 January following the anniversary date. </w:t>
            </w:r>
            <w:r w:rsidRPr="005C7137">
              <w:rPr>
                <w:rFonts w:ascii="Arial" w:hAnsi="Arial" w:cs="Arial"/>
                <w:sz w:val="24"/>
                <w:szCs w:val="24"/>
              </w:rPr>
              <w:t>(holiday year 1 January - 31 December)</w:t>
            </w:r>
          </w:p>
          <w:p w:rsidR="00B346E9" w:rsidRPr="005C7137" w:rsidRDefault="00B346E9" w:rsidP="00B346E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5C713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 years’ service   26 days</w:t>
            </w:r>
          </w:p>
          <w:p w:rsidR="00B346E9" w:rsidRPr="005C7137" w:rsidRDefault="00B346E9" w:rsidP="00B346E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5C713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10 years’ service 28 days</w:t>
            </w:r>
          </w:p>
          <w:p w:rsidR="00B346E9" w:rsidRPr="005C7137" w:rsidRDefault="00B346E9" w:rsidP="00B346E9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5C713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15 years’ service 30 days.</w:t>
            </w:r>
          </w:p>
        </w:tc>
      </w:tr>
      <w:tr w:rsidR="00B346E9" w:rsidRPr="005C7137" w:rsidTr="00B346E9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E9" w:rsidRPr="005C7137" w:rsidTr="00B346E9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Period of Notice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Two months</w:t>
            </w:r>
          </w:p>
        </w:tc>
      </w:tr>
      <w:tr w:rsidR="00B346E9" w:rsidRPr="005C7137" w:rsidTr="00B346E9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E9" w:rsidRPr="005C7137" w:rsidTr="00B346E9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1D59BF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9BF">
              <w:rPr>
                <w:rFonts w:ascii="Arial" w:hAnsi="Arial" w:cs="Arial"/>
                <w:sz w:val="24"/>
                <w:szCs w:val="24"/>
              </w:rPr>
              <w:t>Salary Scale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1D59BF" w:rsidRDefault="001D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9BF">
              <w:rPr>
                <w:rFonts w:ascii="Arial" w:hAnsi="Arial" w:cs="Arial"/>
                <w:sz w:val="24"/>
                <w:szCs w:val="24"/>
              </w:rPr>
              <w:t>£14,042.71 - £14,935.66 per annum</w:t>
            </w:r>
          </w:p>
        </w:tc>
      </w:tr>
      <w:tr w:rsidR="00B346E9" w:rsidRPr="005C7137" w:rsidTr="00B346E9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9" w:rsidRPr="005C7137" w:rsidRDefault="00B346E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346E9" w:rsidRPr="005C7137" w:rsidTr="00B346E9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Pension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Northern Skills Group operates a pension scheme through NEST.  The current contribution is 5% of pensionable salary.  </w:t>
            </w:r>
          </w:p>
        </w:tc>
      </w:tr>
      <w:tr w:rsidR="00B346E9" w:rsidRPr="005C7137" w:rsidTr="00B346E9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9" w:rsidRPr="005C7137" w:rsidRDefault="00B346E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346E9" w:rsidRPr="005C7137" w:rsidTr="00B346E9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Life Assurance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5C713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Non-contributory Life Assurance Scheme.  </w:t>
            </w:r>
          </w:p>
        </w:tc>
      </w:tr>
      <w:tr w:rsidR="00B346E9" w:rsidRPr="005C7137" w:rsidTr="00B346E9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E9" w:rsidRPr="005C7137" w:rsidTr="00B346E9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Healthcare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B346E9" w:rsidRPr="005C7137" w:rsidRDefault="00B346E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5C7137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Non-contributory Healthcare Scheme.</w:t>
            </w:r>
          </w:p>
          <w:p w:rsidR="00B346E9" w:rsidRPr="005C7137" w:rsidRDefault="00B346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E9" w:rsidRPr="005C7137" w:rsidTr="00B346E9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346E9" w:rsidRPr="005C7137" w:rsidRDefault="00B346E9">
            <w:pPr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Sickness</w:t>
            </w:r>
          </w:p>
          <w:p w:rsidR="00B346E9" w:rsidRPr="005C7137" w:rsidRDefault="00B34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The Corporation’s Sickness Policy will apply and further information is available from the Human Resources Department on request</w:t>
            </w:r>
            <w:r w:rsidR="001D59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E9" w:rsidRPr="005C7137" w:rsidTr="00B346E9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346E9" w:rsidRPr="005C7137" w:rsidRDefault="00B346E9">
            <w:pPr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Probationary Period</w:t>
            </w:r>
          </w:p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6 months</w:t>
            </w:r>
          </w:p>
        </w:tc>
      </w:tr>
      <w:tr w:rsidR="00B346E9" w:rsidRPr="005C7137" w:rsidTr="00B346E9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Disclosure &amp; Barring Service Check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6E9" w:rsidRPr="005C7137" w:rsidRDefault="00B34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From the 1 August 2018, new employees (with the exception of Apprentices, Business Support Scales 1, 2 &amp; 3 or equivalent in Northern Skills Group) will be required to pay for the Disclosure &amp; Barring Service Check, and this will be deducted from their payroll over the first three months of employment.  The current cost of a Disclosure &amp; Barring Service Check is £58.40.</w:t>
            </w:r>
          </w:p>
        </w:tc>
      </w:tr>
    </w:tbl>
    <w:p w:rsidR="00B346E9" w:rsidRPr="005C7137" w:rsidRDefault="00B346E9" w:rsidP="00B346E9">
      <w:pPr>
        <w:jc w:val="both"/>
        <w:rPr>
          <w:rFonts w:ascii="Arial" w:hAnsi="Arial" w:cs="Arial"/>
          <w:sz w:val="24"/>
          <w:szCs w:val="24"/>
        </w:rPr>
      </w:pPr>
    </w:p>
    <w:p w:rsidR="00B346E9" w:rsidRPr="005C7137" w:rsidRDefault="00B346E9" w:rsidP="00B346E9">
      <w:pPr>
        <w:jc w:val="both"/>
        <w:rPr>
          <w:rFonts w:ascii="Arial" w:hAnsi="Arial" w:cs="Arial"/>
          <w:b/>
          <w:sz w:val="24"/>
          <w:szCs w:val="24"/>
        </w:rPr>
      </w:pPr>
      <w:r w:rsidRPr="005C7137">
        <w:rPr>
          <w:rFonts w:ascii="Arial" w:hAnsi="Arial" w:cs="Arial"/>
          <w:b/>
          <w:sz w:val="24"/>
          <w:szCs w:val="24"/>
        </w:rPr>
        <w:t>Please note that all appointments are subject to a satisfactory Enhanced Disclosure &amp; Barring Service check and receipt of two satisfactory references.</w:t>
      </w:r>
    </w:p>
    <w:p w:rsidR="00B346E9" w:rsidRPr="005C7137" w:rsidRDefault="00B346E9" w:rsidP="00B346E9">
      <w:pPr>
        <w:rPr>
          <w:rFonts w:ascii="Arial" w:hAnsi="Arial" w:cs="Arial"/>
          <w:color w:val="FF0000"/>
          <w:sz w:val="24"/>
          <w:szCs w:val="24"/>
        </w:rPr>
      </w:pPr>
    </w:p>
    <w:p w:rsidR="00B346E9" w:rsidRPr="005C7137" w:rsidRDefault="00B346E9" w:rsidP="00B346E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346E9" w:rsidRPr="005C7137" w:rsidRDefault="00B346E9" w:rsidP="000041D6">
      <w:pPr>
        <w:rPr>
          <w:rFonts w:ascii="Arial" w:hAnsi="Arial" w:cs="Arial"/>
          <w:b/>
          <w:sz w:val="24"/>
          <w:szCs w:val="24"/>
          <w:u w:val="single"/>
        </w:rPr>
      </w:pPr>
    </w:p>
    <w:p w:rsidR="00B346E9" w:rsidRPr="005C7137" w:rsidRDefault="00B346E9" w:rsidP="000041D6">
      <w:pPr>
        <w:rPr>
          <w:rFonts w:ascii="Arial" w:hAnsi="Arial" w:cs="Arial"/>
          <w:b/>
          <w:sz w:val="24"/>
          <w:szCs w:val="24"/>
          <w:u w:val="single"/>
        </w:rPr>
      </w:pPr>
    </w:p>
    <w:p w:rsidR="00B346E9" w:rsidRPr="005C7137" w:rsidRDefault="00B346E9" w:rsidP="000041D6">
      <w:pPr>
        <w:rPr>
          <w:rFonts w:ascii="Arial" w:hAnsi="Arial" w:cs="Arial"/>
          <w:b/>
          <w:sz w:val="24"/>
          <w:szCs w:val="24"/>
          <w:u w:val="single"/>
        </w:rPr>
      </w:pPr>
    </w:p>
    <w:p w:rsidR="00B346E9" w:rsidRPr="005C7137" w:rsidRDefault="00B346E9" w:rsidP="000041D6">
      <w:pPr>
        <w:rPr>
          <w:rFonts w:ascii="Arial" w:hAnsi="Arial" w:cs="Arial"/>
          <w:b/>
          <w:sz w:val="24"/>
          <w:szCs w:val="24"/>
          <w:u w:val="single"/>
        </w:rPr>
      </w:pPr>
    </w:p>
    <w:p w:rsidR="00B346E9" w:rsidRPr="005C7137" w:rsidRDefault="00B346E9" w:rsidP="000041D6">
      <w:pPr>
        <w:rPr>
          <w:rFonts w:ascii="Arial" w:hAnsi="Arial" w:cs="Arial"/>
          <w:b/>
          <w:sz w:val="24"/>
          <w:szCs w:val="24"/>
          <w:u w:val="single"/>
        </w:rPr>
      </w:pPr>
    </w:p>
    <w:p w:rsidR="00B346E9" w:rsidRPr="005C7137" w:rsidRDefault="00B346E9" w:rsidP="000041D6">
      <w:pPr>
        <w:rPr>
          <w:rFonts w:ascii="Arial" w:hAnsi="Arial" w:cs="Arial"/>
          <w:b/>
          <w:sz w:val="24"/>
          <w:szCs w:val="24"/>
          <w:u w:val="single"/>
        </w:rPr>
      </w:pPr>
    </w:p>
    <w:sectPr w:rsidR="00B346E9" w:rsidRPr="005C71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23" w:rsidRDefault="00C87E23" w:rsidP="002F1FC8">
      <w:pPr>
        <w:spacing w:after="0" w:line="240" w:lineRule="auto"/>
      </w:pPr>
      <w:r>
        <w:separator/>
      </w:r>
    </w:p>
  </w:endnote>
  <w:endnote w:type="continuationSeparator" w:id="0">
    <w:p w:rsidR="00C87E23" w:rsidRDefault="00C87E23" w:rsidP="002F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LTW01-MediumC 721311">
    <w:altName w:val="Times New Roman"/>
    <w:charset w:val="00"/>
    <w:family w:val="auto"/>
    <w:pitch w:val="default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7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E23" w:rsidRDefault="00C87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9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7E23" w:rsidRDefault="00C87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23" w:rsidRDefault="00C87E23" w:rsidP="002F1FC8">
      <w:pPr>
        <w:spacing w:after="0" w:line="240" w:lineRule="auto"/>
      </w:pPr>
      <w:r>
        <w:separator/>
      </w:r>
    </w:p>
  </w:footnote>
  <w:footnote w:type="continuationSeparator" w:id="0">
    <w:p w:rsidR="00C87E23" w:rsidRDefault="00C87E23" w:rsidP="002F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A96"/>
    <w:multiLevelType w:val="hybridMultilevel"/>
    <w:tmpl w:val="3642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BEF"/>
    <w:multiLevelType w:val="hybridMultilevel"/>
    <w:tmpl w:val="08F052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BC2512"/>
    <w:multiLevelType w:val="hybridMultilevel"/>
    <w:tmpl w:val="B6B2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252F"/>
    <w:multiLevelType w:val="hybridMultilevel"/>
    <w:tmpl w:val="D9BA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F0"/>
    <w:multiLevelType w:val="hybridMultilevel"/>
    <w:tmpl w:val="4568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7403"/>
    <w:multiLevelType w:val="hybridMultilevel"/>
    <w:tmpl w:val="E2685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C4934"/>
    <w:multiLevelType w:val="hybridMultilevel"/>
    <w:tmpl w:val="1B2C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6394A"/>
    <w:multiLevelType w:val="hybridMultilevel"/>
    <w:tmpl w:val="F24AC9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06816C9"/>
    <w:multiLevelType w:val="hybridMultilevel"/>
    <w:tmpl w:val="979C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02B2"/>
    <w:multiLevelType w:val="hybridMultilevel"/>
    <w:tmpl w:val="069C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81401"/>
    <w:multiLevelType w:val="hybridMultilevel"/>
    <w:tmpl w:val="46A6C36E"/>
    <w:lvl w:ilvl="0" w:tplc="DF485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296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E9F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ED5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082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246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0C3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A61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0BA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F772FF"/>
    <w:multiLevelType w:val="multilevel"/>
    <w:tmpl w:val="FBFA73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BEE0C48"/>
    <w:multiLevelType w:val="hybridMultilevel"/>
    <w:tmpl w:val="C24ECB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7D7932"/>
    <w:multiLevelType w:val="hybridMultilevel"/>
    <w:tmpl w:val="6AE67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37C0B"/>
    <w:multiLevelType w:val="hybridMultilevel"/>
    <w:tmpl w:val="F518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8242F"/>
    <w:multiLevelType w:val="hybridMultilevel"/>
    <w:tmpl w:val="BDF2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84B10"/>
    <w:multiLevelType w:val="hybridMultilevel"/>
    <w:tmpl w:val="DB8C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4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31"/>
    <w:rsid w:val="000041D6"/>
    <w:rsid w:val="000201B9"/>
    <w:rsid w:val="000226D5"/>
    <w:rsid w:val="000371A3"/>
    <w:rsid w:val="00040C04"/>
    <w:rsid w:val="00041A5B"/>
    <w:rsid w:val="0005657B"/>
    <w:rsid w:val="00064887"/>
    <w:rsid w:val="0007781F"/>
    <w:rsid w:val="000F0CA7"/>
    <w:rsid w:val="001401E3"/>
    <w:rsid w:val="001463F4"/>
    <w:rsid w:val="00161305"/>
    <w:rsid w:val="00165302"/>
    <w:rsid w:val="00185AA9"/>
    <w:rsid w:val="001867D1"/>
    <w:rsid w:val="00194E1D"/>
    <w:rsid w:val="001D59BF"/>
    <w:rsid w:val="001D6ABF"/>
    <w:rsid w:val="001F4871"/>
    <w:rsid w:val="00213157"/>
    <w:rsid w:val="00216B6D"/>
    <w:rsid w:val="002214AF"/>
    <w:rsid w:val="002459E9"/>
    <w:rsid w:val="0027679C"/>
    <w:rsid w:val="00277140"/>
    <w:rsid w:val="00286CF9"/>
    <w:rsid w:val="002A1609"/>
    <w:rsid w:val="002A289C"/>
    <w:rsid w:val="002A4BCD"/>
    <w:rsid w:val="002C7113"/>
    <w:rsid w:val="002E6673"/>
    <w:rsid w:val="002F1FC8"/>
    <w:rsid w:val="002F5FDB"/>
    <w:rsid w:val="00300148"/>
    <w:rsid w:val="00301974"/>
    <w:rsid w:val="003071CF"/>
    <w:rsid w:val="00342E47"/>
    <w:rsid w:val="00350C8E"/>
    <w:rsid w:val="0038484B"/>
    <w:rsid w:val="00390FBC"/>
    <w:rsid w:val="003B2E79"/>
    <w:rsid w:val="003B4560"/>
    <w:rsid w:val="003B5D88"/>
    <w:rsid w:val="003B68A6"/>
    <w:rsid w:val="003D03C0"/>
    <w:rsid w:val="003D246D"/>
    <w:rsid w:val="00411655"/>
    <w:rsid w:val="00421B98"/>
    <w:rsid w:val="00451C67"/>
    <w:rsid w:val="00461710"/>
    <w:rsid w:val="0048056E"/>
    <w:rsid w:val="00481BAC"/>
    <w:rsid w:val="0049454B"/>
    <w:rsid w:val="004A213C"/>
    <w:rsid w:val="004A76BC"/>
    <w:rsid w:val="004B60C5"/>
    <w:rsid w:val="004C62B9"/>
    <w:rsid w:val="004D7960"/>
    <w:rsid w:val="00510660"/>
    <w:rsid w:val="005153D6"/>
    <w:rsid w:val="00521CC3"/>
    <w:rsid w:val="00557364"/>
    <w:rsid w:val="005A78ED"/>
    <w:rsid w:val="005C13FD"/>
    <w:rsid w:val="005C7137"/>
    <w:rsid w:val="005F57EC"/>
    <w:rsid w:val="00612511"/>
    <w:rsid w:val="00612B47"/>
    <w:rsid w:val="00614502"/>
    <w:rsid w:val="00617398"/>
    <w:rsid w:val="006312B8"/>
    <w:rsid w:val="00631DE5"/>
    <w:rsid w:val="006407F3"/>
    <w:rsid w:val="006713C5"/>
    <w:rsid w:val="0067406C"/>
    <w:rsid w:val="00681DB8"/>
    <w:rsid w:val="0069047A"/>
    <w:rsid w:val="006B276E"/>
    <w:rsid w:val="006E488B"/>
    <w:rsid w:val="0071160B"/>
    <w:rsid w:val="00734996"/>
    <w:rsid w:val="0074223E"/>
    <w:rsid w:val="00742A86"/>
    <w:rsid w:val="00781FDC"/>
    <w:rsid w:val="00793478"/>
    <w:rsid w:val="007A097E"/>
    <w:rsid w:val="007A2E2A"/>
    <w:rsid w:val="007A6FD6"/>
    <w:rsid w:val="007D10E9"/>
    <w:rsid w:val="007D2240"/>
    <w:rsid w:val="007D4825"/>
    <w:rsid w:val="007E5E35"/>
    <w:rsid w:val="00806FC2"/>
    <w:rsid w:val="00826428"/>
    <w:rsid w:val="00835C60"/>
    <w:rsid w:val="00840554"/>
    <w:rsid w:val="00842339"/>
    <w:rsid w:val="00880222"/>
    <w:rsid w:val="00895B8F"/>
    <w:rsid w:val="008B1C14"/>
    <w:rsid w:val="008D7562"/>
    <w:rsid w:val="008E2E31"/>
    <w:rsid w:val="008E5203"/>
    <w:rsid w:val="008F21F1"/>
    <w:rsid w:val="008F68DC"/>
    <w:rsid w:val="00916B00"/>
    <w:rsid w:val="00916E2E"/>
    <w:rsid w:val="0092506B"/>
    <w:rsid w:val="00936D98"/>
    <w:rsid w:val="009444B8"/>
    <w:rsid w:val="009476BC"/>
    <w:rsid w:val="00952DAD"/>
    <w:rsid w:val="009D75CB"/>
    <w:rsid w:val="00A05A7F"/>
    <w:rsid w:val="00AB0A9D"/>
    <w:rsid w:val="00AB5539"/>
    <w:rsid w:val="00AD6816"/>
    <w:rsid w:val="00AF09A1"/>
    <w:rsid w:val="00B10932"/>
    <w:rsid w:val="00B346E9"/>
    <w:rsid w:val="00B37B4C"/>
    <w:rsid w:val="00B411A7"/>
    <w:rsid w:val="00B52991"/>
    <w:rsid w:val="00B6621A"/>
    <w:rsid w:val="00B8049B"/>
    <w:rsid w:val="00BA118C"/>
    <w:rsid w:val="00BA4783"/>
    <w:rsid w:val="00BC2C12"/>
    <w:rsid w:val="00BC5B4F"/>
    <w:rsid w:val="00BD6E69"/>
    <w:rsid w:val="00BE398F"/>
    <w:rsid w:val="00BE555F"/>
    <w:rsid w:val="00BF1D43"/>
    <w:rsid w:val="00BF7776"/>
    <w:rsid w:val="00C46AF9"/>
    <w:rsid w:val="00C62CB6"/>
    <w:rsid w:val="00C654E5"/>
    <w:rsid w:val="00C83699"/>
    <w:rsid w:val="00C8746D"/>
    <w:rsid w:val="00C87E23"/>
    <w:rsid w:val="00CC0C9B"/>
    <w:rsid w:val="00D129D1"/>
    <w:rsid w:val="00D2019F"/>
    <w:rsid w:val="00D22392"/>
    <w:rsid w:val="00D23CF6"/>
    <w:rsid w:val="00D26A95"/>
    <w:rsid w:val="00DA48E1"/>
    <w:rsid w:val="00DC3038"/>
    <w:rsid w:val="00DD1A22"/>
    <w:rsid w:val="00DE2524"/>
    <w:rsid w:val="00DF1918"/>
    <w:rsid w:val="00DF75FD"/>
    <w:rsid w:val="00E142BF"/>
    <w:rsid w:val="00E85D5D"/>
    <w:rsid w:val="00E862DE"/>
    <w:rsid w:val="00E86EDC"/>
    <w:rsid w:val="00E87DEE"/>
    <w:rsid w:val="00E91E57"/>
    <w:rsid w:val="00E91F21"/>
    <w:rsid w:val="00EB5E4C"/>
    <w:rsid w:val="00EC327E"/>
    <w:rsid w:val="00ED55E0"/>
    <w:rsid w:val="00ED58BA"/>
    <w:rsid w:val="00ED7683"/>
    <w:rsid w:val="00F04A55"/>
    <w:rsid w:val="00F14919"/>
    <w:rsid w:val="00F5392D"/>
    <w:rsid w:val="00F60BB2"/>
    <w:rsid w:val="00F631ED"/>
    <w:rsid w:val="00F720A2"/>
    <w:rsid w:val="00F82AA3"/>
    <w:rsid w:val="00F86111"/>
    <w:rsid w:val="00FA5512"/>
    <w:rsid w:val="00FA64DB"/>
    <w:rsid w:val="00FB500E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769C"/>
  <w15:chartTrackingRefBased/>
  <w15:docId w15:val="{40831F4E-3C80-46EE-90E1-5BD07A6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1FDC"/>
    <w:pPr>
      <w:spacing w:before="100" w:beforeAutospacing="1" w:after="312" w:line="34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781FDC"/>
    <w:pPr>
      <w:spacing w:before="120" w:after="168" w:line="312" w:lineRule="atLeast"/>
    </w:pPr>
    <w:rPr>
      <w:rFonts w:ascii="AvenirNextLTW01-MediumC 721311" w:eastAsia="Times New Roman" w:hAnsi="AvenirNextLTW01-MediumC 721311" w:cs="Times New Roman"/>
      <w:sz w:val="38"/>
      <w:szCs w:val="38"/>
      <w:lang w:eastAsia="en-GB"/>
    </w:rPr>
  </w:style>
  <w:style w:type="paragraph" w:customStyle="1" w:styleId="Pa3">
    <w:name w:val="Pa3"/>
    <w:basedOn w:val="Default"/>
    <w:next w:val="Default"/>
    <w:uiPriority w:val="99"/>
    <w:rsid w:val="00781FD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5">
    <w:name w:val="A5"/>
    <w:uiPriority w:val="99"/>
    <w:rsid w:val="00781FDC"/>
    <w:rPr>
      <w:rFonts w:cs="Gotham"/>
      <w:color w:val="000000"/>
      <w:sz w:val="18"/>
      <w:szCs w:val="18"/>
    </w:rPr>
  </w:style>
  <w:style w:type="character" w:customStyle="1" w:styleId="A3">
    <w:name w:val="A3"/>
    <w:uiPriority w:val="99"/>
    <w:rsid w:val="00781FDC"/>
    <w:rPr>
      <w:rFonts w:cs="Gotham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ED58BA"/>
    <w:pPr>
      <w:spacing w:line="241" w:lineRule="atLeast"/>
    </w:pPr>
    <w:rPr>
      <w:rFonts w:ascii="Gotham" w:hAnsi="Gotham" w:cstheme="minorBidi"/>
      <w:color w:val="auto"/>
    </w:rPr>
  </w:style>
  <w:style w:type="paragraph" w:styleId="NoSpacing">
    <w:name w:val="No Spacing"/>
    <w:uiPriority w:val="1"/>
    <w:qFormat/>
    <w:rsid w:val="00E85D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5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C8"/>
  </w:style>
  <w:style w:type="paragraph" w:styleId="Footer">
    <w:name w:val="footer"/>
    <w:basedOn w:val="Normal"/>
    <w:link w:val="FooterChar"/>
    <w:uiPriority w:val="99"/>
    <w:unhideWhenUsed/>
    <w:rsid w:val="002F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C8"/>
  </w:style>
  <w:style w:type="table" w:styleId="TableGrid">
    <w:name w:val="Table Grid"/>
    <w:basedOn w:val="TableNormal"/>
    <w:uiPriority w:val="39"/>
    <w:rsid w:val="0024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16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Steel</dc:creator>
  <cp:keywords/>
  <dc:description/>
  <cp:lastModifiedBy>Rachael Walker</cp:lastModifiedBy>
  <cp:revision>4</cp:revision>
  <dcterms:created xsi:type="dcterms:W3CDTF">2019-06-20T10:22:00Z</dcterms:created>
  <dcterms:modified xsi:type="dcterms:W3CDTF">2019-06-20T10:56:00Z</dcterms:modified>
</cp:coreProperties>
</file>