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6F126B" w:rsidP="00D70625">
            <w:pPr>
              <w:rPr>
                <w:rFonts w:cs="Arial"/>
                <w:szCs w:val="24"/>
              </w:rPr>
            </w:pPr>
            <w:r w:rsidRPr="006F126B">
              <w:rPr>
                <w:rFonts w:cs="Arial"/>
                <w:szCs w:val="24"/>
              </w:rPr>
              <w:t>SEND, Children Looked After and Vulnerable Groups Caseworker</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6F126B" w:rsidP="00D70625">
            <w:pPr>
              <w:rPr>
                <w:rFonts w:cs="Arial"/>
                <w:szCs w:val="24"/>
              </w:rPr>
            </w:pPr>
            <w:r w:rsidRPr="006F126B">
              <w:rPr>
                <w:rFonts w:cs="Arial"/>
                <w:szCs w:val="24"/>
              </w:rPr>
              <w:t>JE Ref N10041</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845787" w:rsidRPr="00C676CB" w:rsidRDefault="006F126B" w:rsidP="00D70625">
            <w:pPr>
              <w:rPr>
                <w:rFonts w:cs="Arial"/>
                <w:szCs w:val="24"/>
              </w:rPr>
            </w:pPr>
            <w:r w:rsidRPr="006F126B">
              <w:rPr>
                <w:rFonts w:cs="Arial"/>
                <w:szCs w:val="24"/>
              </w:rPr>
              <w:t>Grade 9</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6F126B" w:rsidP="00D70625">
            <w:pPr>
              <w:rPr>
                <w:rFonts w:cs="Arial"/>
                <w:szCs w:val="24"/>
              </w:rPr>
            </w:pPr>
            <w:r>
              <w:rPr>
                <w:rFonts w:cs="Arial"/>
                <w:szCs w:val="24"/>
              </w:rPr>
              <w:t>Children &amp; Young Peoples Services</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6F126B" w:rsidP="00D70625">
            <w:pPr>
              <w:rPr>
                <w:rFonts w:cs="Arial"/>
                <w:szCs w:val="24"/>
              </w:rPr>
            </w:pPr>
            <w:r>
              <w:rPr>
                <w:rFonts w:cs="Arial"/>
                <w:szCs w:val="24"/>
              </w:rPr>
              <w:t>Early Help Inclusion &amp; Vulnerable Children – SEND &amp; Inclusion</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845787" w:rsidRPr="00C676CB" w:rsidRDefault="006F126B" w:rsidP="00D70625">
            <w:pPr>
              <w:rPr>
                <w:rFonts w:cs="Arial"/>
                <w:szCs w:val="24"/>
              </w:rPr>
            </w:pPr>
            <w:r w:rsidRPr="006F126B">
              <w:rPr>
                <w:rFonts w:cs="Arial"/>
                <w:szCs w:val="24"/>
              </w:rPr>
              <w:t>The post holder will be accountable to the Strategic Manager for SEND and Inclusion under the line management of the SEND and Vulnerable Children Casework Manager</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845787" w:rsidRPr="00E14818" w:rsidRDefault="00845787" w:rsidP="00D70625">
            <w:pPr>
              <w:rPr>
                <w:rFonts w:cs="Arial"/>
                <w:szCs w:val="24"/>
              </w:rPr>
            </w:pPr>
            <w:r w:rsidRPr="00E14818">
              <w:rPr>
                <w:rFonts w:cs="Arial"/>
                <w:szCs w:val="24"/>
              </w:rPr>
              <w:t xml:space="preserve">Your normal place of work will be </w:t>
            </w:r>
            <w:r w:rsidR="006F126B">
              <w:rPr>
                <w:rFonts w:cs="Arial"/>
                <w:szCs w:val="24"/>
              </w:rPr>
              <w:t>Broom Cottages, Ferryhill</w:t>
            </w:r>
            <w:r w:rsidRPr="00E14818">
              <w:rPr>
                <w:rFonts w:cs="Arial"/>
                <w:szCs w:val="24"/>
              </w:rPr>
              <w:t>, but you may be required to work at any Council</w:t>
            </w:r>
            <w:r>
              <w:rPr>
                <w:rFonts w:cs="Arial"/>
                <w:szCs w:val="24"/>
              </w:rPr>
              <w:t xml:space="preserve"> workplace within County Durham.</w:t>
            </w:r>
          </w:p>
        </w:tc>
      </w:tr>
      <w:tr w:rsidR="00845787" w:rsidRPr="00D90B5D" w:rsidTr="00D70625">
        <w:trPr>
          <w:trHeight w:val="80"/>
        </w:trPr>
        <w:tc>
          <w:tcPr>
            <w:tcW w:w="10485" w:type="dxa"/>
            <w:gridSpan w:val="2"/>
            <w:tcBorders>
              <w:left w:val="nil"/>
              <w:right w:val="nil"/>
            </w:tcBorders>
            <w:shd w:val="clear" w:color="auto" w:fill="auto"/>
            <w:vAlign w:val="center"/>
          </w:tcPr>
          <w:p w:rsidR="00845787" w:rsidRPr="00C676CB" w:rsidRDefault="00845787" w:rsidP="00D70625">
            <w:pPr>
              <w:jc w:val="right"/>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Pr="006F126B" w:rsidRDefault="00845787" w:rsidP="00D70625">
            <w:pPr>
              <w:rPr>
                <w:rFonts w:cs="Arial"/>
                <w:szCs w:val="24"/>
              </w:rPr>
            </w:pPr>
            <w:r w:rsidRPr="006F126B">
              <w:rPr>
                <w:rFonts w:cs="Arial"/>
                <w:szCs w:val="24"/>
              </w:rPr>
              <w:t>This post is subject to a</w:t>
            </w:r>
            <w:r w:rsidR="006F126B" w:rsidRPr="006F126B">
              <w:rPr>
                <w:rFonts w:cs="Arial"/>
                <w:szCs w:val="24"/>
              </w:rPr>
              <w:t xml:space="preserve">n </w:t>
            </w:r>
            <w:r w:rsidRPr="006F126B">
              <w:rPr>
                <w:rFonts w:cs="Arial"/>
                <w:szCs w:val="24"/>
              </w:rPr>
              <w:t>enhanced disclosure.</w:t>
            </w: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6F126B" w:rsidRDefault="00845787" w:rsidP="00D70625">
            <w:pPr>
              <w:rPr>
                <w:rFonts w:cs="Arial"/>
                <w:szCs w:val="24"/>
              </w:rPr>
            </w:pPr>
            <w:r w:rsidRPr="006F126B">
              <w:rPr>
                <w:rFonts w:cs="Arial"/>
                <w:szCs w:val="24"/>
              </w:rPr>
              <w:t>This post is eligible for flexitime.</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Default="00845787" w:rsidP="00D70625">
            <w:pPr>
              <w:rPr>
                <w:rFonts w:cs="Arial"/>
                <w:szCs w:val="24"/>
              </w:rPr>
            </w:pPr>
            <w:r>
              <w:rPr>
                <w:rFonts w:cs="Arial"/>
                <w:szCs w:val="24"/>
              </w:rPr>
              <w:t xml:space="preserve">This post </w:t>
            </w:r>
            <w:r w:rsidRPr="006F126B">
              <w:rPr>
                <w:rFonts w:cs="Arial"/>
                <w:szCs w:val="24"/>
              </w:rPr>
              <w:t>is</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rsidTr="00681A84">
        <w:trPr>
          <w:trHeight w:val="1320"/>
        </w:trPr>
        <w:tc>
          <w:tcPr>
            <w:tcW w:w="2552" w:type="dxa"/>
            <w:tcBorders>
              <w:bottom w:val="single" w:sz="4" w:space="0" w:color="auto"/>
            </w:tcBorders>
            <w:shd w:val="clear" w:color="auto" w:fill="F2F2F2" w:themeFill="background1" w:themeFillShade="F2"/>
            <w:vAlign w:val="center"/>
          </w:tcPr>
          <w:p w:rsidR="00681A84" w:rsidRDefault="00681A84" w:rsidP="00D70625">
            <w:pPr>
              <w:rPr>
                <w:rFonts w:cs="Arial"/>
                <w:b/>
                <w:szCs w:val="24"/>
              </w:rPr>
            </w:pPr>
          </w:p>
        </w:tc>
        <w:tc>
          <w:tcPr>
            <w:tcW w:w="7933" w:type="dxa"/>
            <w:tcBorders>
              <w:bottom w:val="single" w:sz="4" w:space="0" w:color="auto"/>
            </w:tcBorders>
            <w:vAlign w:val="center"/>
          </w:tcPr>
          <w:p w:rsidR="00681A84" w:rsidRDefault="00681A84" w:rsidP="00D70625">
            <w:pPr>
              <w:rPr>
                <w:rFonts w:cs="Arial"/>
                <w:szCs w:val="24"/>
              </w:rPr>
            </w:pPr>
          </w:p>
        </w:tc>
      </w:tr>
    </w:tbl>
    <w:p w:rsidR="00681A84" w:rsidRDefault="00681A84"/>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681A84" w:rsidRDefault="00681A84" w:rsidP="00681A84">
      <w:pPr>
        <w:rPr>
          <w:rFonts w:cs="Arial"/>
          <w:b/>
          <w:szCs w:val="24"/>
        </w:rPr>
      </w:pPr>
    </w:p>
    <w:p w:rsidR="006F126B" w:rsidRPr="006F126B" w:rsidRDefault="006F126B" w:rsidP="006F126B">
      <w:pPr>
        <w:rPr>
          <w:rFonts w:cs="Arial"/>
          <w:szCs w:val="24"/>
        </w:rPr>
      </w:pPr>
      <w:r w:rsidRPr="006F126B">
        <w:rPr>
          <w:rFonts w:cs="Arial"/>
          <w:szCs w:val="24"/>
        </w:rPr>
        <w:t>The function of the SEND and Vulnerable Children Caseworker is to provide high quality casework across 0-25 age phase that ensures that children and young people with SEND and those who are Looked After by the Local Authority achieve outcomes that are aspirational, inclusive, supportive of independence and designed to prepare for the next learning phase and ultimately for adulthood including independence and employment in their communities.</w:t>
      </w:r>
    </w:p>
    <w:p w:rsidR="006F126B" w:rsidRPr="006F126B" w:rsidRDefault="006F126B" w:rsidP="006F126B">
      <w:pPr>
        <w:rPr>
          <w:rFonts w:cs="Arial"/>
          <w:szCs w:val="24"/>
        </w:rPr>
      </w:pPr>
    </w:p>
    <w:p w:rsidR="006F126B" w:rsidRPr="006F126B" w:rsidRDefault="006F126B" w:rsidP="006F126B">
      <w:pPr>
        <w:rPr>
          <w:rFonts w:cs="Arial"/>
          <w:szCs w:val="24"/>
        </w:rPr>
      </w:pPr>
    </w:p>
    <w:p w:rsidR="006F126B" w:rsidRPr="006F126B" w:rsidRDefault="006F126B" w:rsidP="006F126B">
      <w:pPr>
        <w:rPr>
          <w:rFonts w:cs="Arial"/>
          <w:szCs w:val="24"/>
        </w:rPr>
      </w:pPr>
      <w:r w:rsidRPr="006F126B">
        <w:rPr>
          <w:rFonts w:cs="Arial"/>
          <w:szCs w:val="24"/>
        </w:rPr>
        <w:t xml:space="preserve">The SEND and Vulnerable Children Casework Team will be focussed on the inclusion of children and young people with SEND and those with Looked After Status in a Local Offer that delivers real world outcomes that ensure the best preparation for adulthood.  </w:t>
      </w:r>
    </w:p>
    <w:p w:rsidR="006F126B" w:rsidRPr="006F126B" w:rsidRDefault="006F126B" w:rsidP="006F126B">
      <w:pPr>
        <w:rPr>
          <w:rFonts w:cs="Arial"/>
          <w:szCs w:val="24"/>
        </w:rPr>
      </w:pPr>
      <w:r w:rsidRPr="006F126B">
        <w:rPr>
          <w:rFonts w:cs="Arial"/>
          <w:szCs w:val="24"/>
        </w:rPr>
        <w:t>The functions of the team are to ensure that the duties set out in SEND Code of Practice and the Children and Social Work Act (reference to the duties of the Virtual School) are adhered to.  This includes:</w:t>
      </w:r>
    </w:p>
    <w:p w:rsidR="006F126B" w:rsidRPr="006F126B" w:rsidRDefault="006F126B" w:rsidP="006F126B">
      <w:pPr>
        <w:pStyle w:val="ListParagraph"/>
        <w:numPr>
          <w:ilvl w:val="0"/>
          <w:numId w:val="23"/>
        </w:numPr>
        <w:ind w:left="426" w:hanging="426"/>
        <w:rPr>
          <w:rFonts w:cs="Arial"/>
          <w:szCs w:val="24"/>
        </w:rPr>
      </w:pPr>
      <w:r w:rsidRPr="006F126B">
        <w:rPr>
          <w:rFonts w:cs="Arial"/>
          <w:szCs w:val="24"/>
        </w:rPr>
        <w:lastRenderedPageBreak/>
        <w:t>ensuring the high quality of new Education, Health and Care Plans (EHCP’s) following best practice principles</w:t>
      </w:r>
    </w:p>
    <w:p w:rsidR="006F126B" w:rsidRPr="006F126B" w:rsidRDefault="006F126B" w:rsidP="006F126B">
      <w:pPr>
        <w:pStyle w:val="ListParagraph"/>
        <w:numPr>
          <w:ilvl w:val="0"/>
          <w:numId w:val="23"/>
        </w:numPr>
        <w:ind w:left="426" w:hanging="426"/>
        <w:rPr>
          <w:rFonts w:cs="Arial"/>
          <w:szCs w:val="24"/>
        </w:rPr>
      </w:pPr>
      <w:r w:rsidRPr="006F126B">
        <w:rPr>
          <w:rFonts w:cs="Arial"/>
          <w:szCs w:val="24"/>
        </w:rPr>
        <w:t xml:space="preserve">ensuring the production of high quality Personal Education Plans (PEP’s) and the effective use of PP+ to support achievement </w:t>
      </w:r>
    </w:p>
    <w:p w:rsidR="006F126B" w:rsidRPr="006F126B" w:rsidRDefault="006F126B" w:rsidP="006F126B">
      <w:pPr>
        <w:pStyle w:val="ListParagraph"/>
        <w:numPr>
          <w:ilvl w:val="0"/>
          <w:numId w:val="23"/>
        </w:numPr>
        <w:ind w:left="426" w:hanging="426"/>
        <w:rPr>
          <w:rFonts w:cs="Arial"/>
          <w:szCs w:val="24"/>
        </w:rPr>
      </w:pPr>
      <w:r w:rsidRPr="006F126B">
        <w:rPr>
          <w:rFonts w:cs="Arial"/>
          <w:szCs w:val="24"/>
        </w:rPr>
        <w:t>determine the most appropriate learning placement of children and young people including mainstream, enhanced and specialist options</w:t>
      </w:r>
    </w:p>
    <w:p w:rsidR="006F126B" w:rsidRPr="006F126B" w:rsidRDefault="006F126B" w:rsidP="006F126B">
      <w:pPr>
        <w:pStyle w:val="ListParagraph"/>
        <w:numPr>
          <w:ilvl w:val="0"/>
          <w:numId w:val="23"/>
        </w:numPr>
        <w:ind w:left="426" w:hanging="426"/>
        <w:rPr>
          <w:rFonts w:cs="Arial"/>
          <w:szCs w:val="24"/>
        </w:rPr>
      </w:pPr>
      <w:r w:rsidRPr="006F126B">
        <w:rPr>
          <w:rFonts w:cs="Arial"/>
          <w:szCs w:val="24"/>
        </w:rPr>
        <w:t xml:space="preserve">provide proportionate support, guidance and advocacy to children and young people with SEND and their families </w:t>
      </w:r>
    </w:p>
    <w:p w:rsidR="006F126B" w:rsidRPr="006F126B" w:rsidRDefault="006F126B" w:rsidP="006F126B">
      <w:pPr>
        <w:pStyle w:val="ListParagraph"/>
        <w:numPr>
          <w:ilvl w:val="0"/>
          <w:numId w:val="23"/>
        </w:numPr>
        <w:ind w:left="426" w:hanging="426"/>
        <w:rPr>
          <w:rFonts w:cs="Arial"/>
          <w:szCs w:val="24"/>
        </w:rPr>
      </w:pPr>
      <w:r w:rsidRPr="006F126B">
        <w:rPr>
          <w:rFonts w:cs="Arial"/>
          <w:szCs w:val="24"/>
        </w:rPr>
        <w:t>provide support, guidance and where necessary challenge to learning providers as part of the graduated response to meeting identified needs</w:t>
      </w:r>
    </w:p>
    <w:p w:rsidR="006F126B" w:rsidRPr="006F126B" w:rsidRDefault="006F126B" w:rsidP="006F126B">
      <w:pPr>
        <w:pStyle w:val="ListParagraph"/>
        <w:numPr>
          <w:ilvl w:val="0"/>
          <w:numId w:val="23"/>
        </w:numPr>
        <w:ind w:left="426" w:hanging="426"/>
        <w:rPr>
          <w:rFonts w:cs="Arial"/>
          <w:szCs w:val="24"/>
        </w:rPr>
      </w:pPr>
      <w:r w:rsidRPr="006F126B">
        <w:rPr>
          <w:rFonts w:cs="Arial"/>
          <w:szCs w:val="24"/>
        </w:rPr>
        <w:t>promote the educational achievement of looked-after and previously looked after children</w:t>
      </w:r>
    </w:p>
    <w:p w:rsidR="006F126B" w:rsidRPr="006F126B" w:rsidRDefault="006F126B" w:rsidP="006F126B">
      <w:pPr>
        <w:pStyle w:val="ListParagraph"/>
        <w:numPr>
          <w:ilvl w:val="0"/>
          <w:numId w:val="23"/>
        </w:numPr>
        <w:ind w:left="426" w:hanging="426"/>
        <w:rPr>
          <w:rFonts w:cs="Arial"/>
          <w:szCs w:val="24"/>
        </w:rPr>
      </w:pPr>
      <w:r w:rsidRPr="006F126B">
        <w:rPr>
          <w:rFonts w:cs="Arial"/>
          <w:szCs w:val="24"/>
        </w:rPr>
        <w:t>facilitate effective transitions through each learning age phase that ensure a focus on outcomes that prepare young people for adulthood remains in place</w:t>
      </w:r>
    </w:p>
    <w:p w:rsidR="006F126B" w:rsidRPr="006F126B" w:rsidRDefault="006F126B" w:rsidP="006F126B">
      <w:pPr>
        <w:pStyle w:val="ListParagraph"/>
        <w:numPr>
          <w:ilvl w:val="0"/>
          <w:numId w:val="23"/>
        </w:numPr>
        <w:ind w:left="426" w:hanging="426"/>
        <w:rPr>
          <w:rFonts w:cs="Arial"/>
          <w:szCs w:val="24"/>
        </w:rPr>
      </w:pPr>
      <w:r w:rsidRPr="006F126B">
        <w:rPr>
          <w:rFonts w:cs="Arial"/>
          <w:szCs w:val="24"/>
        </w:rPr>
        <w:t>respond effectively to additional vulnerabilities that inhibit children and young people achieving their aspirations</w:t>
      </w:r>
    </w:p>
    <w:p w:rsidR="0063274D" w:rsidRDefault="0063274D">
      <w:pPr>
        <w:rPr>
          <w:rFonts w:cs="Arial"/>
          <w:b/>
          <w:szCs w:val="24"/>
        </w:rPr>
      </w:pPr>
      <w:r>
        <w:rPr>
          <w:rFonts w:cs="Arial"/>
          <w:b/>
          <w:szCs w:val="24"/>
        </w:rPr>
        <w:br w:type="page"/>
      </w:r>
    </w:p>
    <w:p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Duties and responsibilities</w:t>
            </w:r>
          </w:p>
        </w:tc>
      </w:tr>
    </w:tbl>
    <w:p w:rsidR="00681A84" w:rsidRDefault="00681A84" w:rsidP="00681A84">
      <w:pPr>
        <w:rPr>
          <w:rFonts w:cs="Arial"/>
          <w:b/>
          <w:szCs w:val="24"/>
        </w:rPr>
      </w:pPr>
    </w:p>
    <w:p w:rsidR="006F126B" w:rsidRPr="006F126B" w:rsidRDefault="006F126B" w:rsidP="006F126B">
      <w:pPr>
        <w:rPr>
          <w:rFonts w:cs="Arial"/>
          <w:szCs w:val="24"/>
        </w:rPr>
      </w:pPr>
      <w:r w:rsidRPr="006F126B">
        <w:rPr>
          <w:rFonts w:cs="Arial"/>
          <w:szCs w:val="24"/>
        </w:rPr>
        <w:t>This role will be primarily responsible for the providing Casework to Children and Young People with SEND and other Vulnerable Children, listed below are the responsibilities.</w:t>
      </w:r>
    </w:p>
    <w:p w:rsidR="006F126B" w:rsidRPr="006F126B" w:rsidRDefault="006F126B" w:rsidP="006F126B">
      <w:pPr>
        <w:rPr>
          <w:rFonts w:cs="Arial"/>
          <w:szCs w:val="24"/>
        </w:rPr>
      </w:pPr>
    </w:p>
    <w:p w:rsidR="006F126B" w:rsidRPr="006F126B" w:rsidRDefault="006F126B" w:rsidP="006F126B">
      <w:pPr>
        <w:pStyle w:val="ListParagraph"/>
        <w:numPr>
          <w:ilvl w:val="0"/>
          <w:numId w:val="25"/>
        </w:numPr>
        <w:ind w:left="426" w:hanging="426"/>
        <w:rPr>
          <w:rFonts w:cs="Arial"/>
          <w:szCs w:val="24"/>
        </w:rPr>
      </w:pPr>
      <w:r w:rsidRPr="006F126B">
        <w:rPr>
          <w:rFonts w:cs="Arial"/>
          <w:szCs w:val="24"/>
        </w:rPr>
        <w:t>To engage with children and young people and their parents/carers to ensure they have the opportunity to fully participate, either directly or via an advocate in services that they receive</w:t>
      </w:r>
    </w:p>
    <w:p w:rsidR="006F126B" w:rsidRPr="006F126B" w:rsidRDefault="006F126B" w:rsidP="006F126B">
      <w:pPr>
        <w:pStyle w:val="ListParagraph"/>
        <w:numPr>
          <w:ilvl w:val="0"/>
          <w:numId w:val="25"/>
        </w:numPr>
        <w:ind w:left="426" w:hanging="426"/>
        <w:rPr>
          <w:rFonts w:cs="Arial"/>
          <w:szCs w:val="24"/>
        </w:rPr>
      </w:pPr>
      <w:r w:rsidRPr="006F126B">
        <w:rPr>
          <w:rFonts w:cs="Arial"/>
          <w:szCs w:val="24"/>
        </w:rPr>
        <w:t>Conduct an assess, plan, deliver and review cycle based on best/effective practice principles</w:t>
      </w:r>
    </w:p>
    <w:p w:rsidR="006F126B" w:rsidRPr="006F126B" w:rsidRDefault="006F126B" w:rsidP="006F126B">
      <w:pPr>
        <w:ind w:left="426" w:hanging="426"/>
        <w:rPr>
          <w:rFonts w:cs="Arial"/>
          <w:szCs w:val="24"/>
        </w:rPr>
      </w:pPr>
    </w:p>
    <w:p w:rsidR="006F126B" w:rsidRPr="006F126B" w:rsidRDefault="006F126B" w:rsidP="006F126B">
      <w:pPr>
        <w:pStyle w:val="ListParagraph"/>
        <w:numPr>
          <w:ilvl w:val="0"/>
          <w:numId w:val="25"/>
        </w:numPr>
        <w:ind w:left="426" w:hanging="426"/>
        <w:rPr>
          <w:rFonts w:cs="Arial"/>
          <w:szCs w:val="24"/>
        </w:rPr>
      </w:pPr>
      <w:r w:rsidRPr="006F126B">
        <w:rPr>
          <w:rFonts w:cs="Arial"/>
          <w:szCs w:val="24"/>
        </w:rPr>
        <w:t xml:space="preserve">To ensure Looked After Children and other vulnerable children and young people achieve good educational outcomes </w:t>
      </w:r>
    </w:p>
    <w:p w:rsidR="006F126B" w:rsidRPr="006F126B" w:rsidRDefault="006F126B" w:rsidP="006F126B">
      <w:pPr>
        <w:ind w:left="426" w:hanging="426"/>
        <w:rPr>
          <w:rFonts w:cs="Arial"/>
          <w:szCs w:val="24"/>
        </w:rPr>
      </w:pPr>
    </w:p>
    <w:p w:rsidR="006F126B" w:rsidRPr="006F126B" w:rsidRDefault="006F126B" w:rsidP="006F126B">
      <w:pPr>
        <w:pStyle w:val="ListParagraph"/>
        <w:numPr>
          <w:ilvl w:val="0"/>
          <w:numId w:val="25"/>
        </w:numPr>
        <w:ind w:left="426" w:hanging="426"/>
        <w:rPr>
          <w:rFonts w:cs="Arial"/>
          <w:szCs w:val="24"/>
        </w:rPr>
      </w:pPr>
      <w:r w:rsidRPr="006F126B">
        <w:rPr>
          <w:rFonts w:cs="Arial"/>
          <w:szCs w:val="24"/>
        </w:rPr>
        <w:t>Ensure education placement is aligned to identified needs and placement is sustained through the effective resourcing of adaptation that meets identified need, including Looked After Children of other Local Authorities who reside in Durham and require  an education placement in County Durham</w:t>
      </w:r>
    </w:p>
    <w:p w:rsidR="006F126B" w:rsidRPr="006F126B" w:rsidRDefault="006F126B" w:rsidP="006F126B">
      <w:pPr>
        <w:ind w:left="426" w:hanging="426"/>
        <w:rPr>
          <w:rFonts w:cs="Arial"/>
          <w:szCs w:val="24"/>
        </w:rPr>
      </w:pPr>
    </w:p>
    <w:p w:rsidR="006F126B" w:rsidRPr="006F126B" w:rsidRDefault="006F126B" w:rsidP="006F126B">
      <w:pPr>
        <w:pStyle w:val="ListParagraph"/>
        <w:numPr>
          <w:ilvl w:val="0"/>
          <w:numId w:val="25"/>
        </w:numPr>
        <w:ind w:left="426" w:hanging="426"/>
        <w:rPr>
          <w:rFonts w:cs="Arial"/>
          <w:szCs w:val="24"/>
        </w:rPr>
      </w:pPr>
      <w:r w:rsidRPr="006F126B">
        <w:rPr>
          <w:rFonts w:cs="Arial"/>
          <w:szCs w:val="24"/>
        </w:rPr>
        <w:t xml:space="preserve">Where placement breaks down determination and delivery of swift and effective child centred solutions </w:t>
      </w:r>
    </w:p>
    <w:p w:rsidR="006F126B" w:rsidRPr="006F126B" w:rsidRDefault="006F126B" w:rsidP="006F126B">
      <w:pPr>
        <w:ind w:left="426" w:hanging="426"/>
        <w:rPr>
          <w:rFonts w:cs="Arial"/>
          <w:szCs w:val="24"/>
        </w:rPr>
      </w:pPr>
    </w:p>
    <w:p w:rsidR="006F126B" w:rsidRPr="006F126B" w:rsidRDefault="006F126B" w:rsidP="006F126B">
      <w:pPr>
        <w:pStyle w:val="ListParagraph"/>
        <w:numPr>
          <w:ilvl w:val="0"/>
          <w:numId w:val="25"/>
        </w:numPr>
        <w:ind w:left="426" w:hanging="426"/>
        <w:rPr>
          <w:rFonts w:cs="Arial"/>
          <w:szCs w:val="24"/>
        </w:rPr>
      </w:pPr>
      <w:r w:rsidRPr="006F126B">
        <w:rPr>
          <w:rFonts w:cs="Arial"/>
          <w:szCs w:val="24"/>
        </w:rPr>
        <w:t>The preparation of departmental records for tribunal and other external scrutiny purposes</w:t>
      </w:r>
    </w:p>
    <w:p w:rsidR="006F126B" w:rsidRPr="006F126B" w:rsidRDefault="006F126B" w:rsidP="006F126B">
      <w:pPr>
        <w:ind w:left="426" w:hanging="426"/>
        <w:rPr>
          <w:rFonts w:cs="Arial"/>
          <w:szCs w:val="24"/>
        </w:rPr>
      </w:pPr>
    </w:p>
    <w:p w:rsidR="006F126B" w:rsidRPr="006F126B" w:rsidRDefault="006F126B" w:rsidP="006F126B">
      <w:pPr>
        <w:pStyle w:val="ListParagraph"/>
        <w:numPr>
          <w:ilvl w:val="0"/>
          <w:numId w:val="25"/>
        </w:numPr>
        <w:ind w:left="426" w:hanging="426"/>
        <w:rPr>
          <w:rFonts w:cs="Arial"/>
          <w:szCs w:val="24"/>
        </w:rPr>
      </w:pPr>
      <w:r w:rsidRPr="006F126B">
        <w:rPr>
          <w:rFonts w:cs="Arial"/>
          <w:szCs w:val="24"/>
        </w:rPr>
        <w:t>To take proactive steps to develop practice through continuous professional development</w:t>
      </w:r>
    </w:p>
    <w:p w:rsidR="006F126B" w:rsidRPr="006F126B" w:rsidRDefault="006F126B" w:rsidP="006F126B">
      <w:pPr>
        <w:ind w:left="426" w:hanging="426"/>
        <w:rPr>
          <w:rFonts w:cs="Arial"/>
          <w:szCs w:val="24"/>
        </w:rPr>
      </w:pPr>
    </w:p>
    <w:p w:rsidR="006F126B" w:rsidRPr="006F126B" w:rsidRDefault="006F126B" w:rsidP="006F126B">
      <w:pPr>
        <w:pStyle w:val="ListParagraph"/>
        <w:numPr>
          <w:ilvl w:val="0"/>
          <w:numId w:val="25"/>
        </w:numPr>
        <w:ind w:left="426" w:hanging="426"/>
        <w:rPr>
          <w:rFonts w:cs="Arial"/>
          <w:szCs w:val="24"/>
        </w:rPr>
      </w:pPr>
      <w:r w:rsidRPr="006F126B">
        <w:rPr>
          <w:rFonts w:cs="Arial"/>
          <w:szCs w:val="24"/>
        </w:rPr>
        <w:t xml:space="preserve">Ensure that assessment and planning processes fully support Preparing for Adulthood principles through early transition planning and access to high quality CEIAG. </w:t>
      </w:r>
    </w:p>
    <w:p w:rsidR="006F126B" w:rsidRDefault="006F126B"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lastRenderedPageBreak/>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Tr="00040EE4">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rsidTr="00040EE4">
        <w:trPr>
          <w:trHeight w:val="1923"/>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rsidR="00845787" w:rsidRPr="006F126B" w:rsidRDefault="006F126B" w:rsidP="00052DFC">
            <w:pPr>
              <w:pStyle w:val="aTitle"/>
              <w:numPr>
                <w:ilvl w:val="0"/>
                <w:numId w:val="21"/>
              </w:numPr>
              <w:tabs>
                <w:tab w:val="clear" w:pos="4513"/>
                <w:tab w:val="clear" w:pos="9026"/>
              </w:tabs>
              <w:rPr>
                <w:rFonts w:cs="Arial"/>
                <w:b w:val="0"/>
                <w:noProof/>
                <w:color w:val="auto"/>
                <w:sz w:val="24"/>
                <w:szCs w:val="24"/>
                <w:lang w:eastAsia="en-GB"/>
              </w:rPr>
            </w:pPr>
            <w:r w:rsidRPr="006F126B">
              <w:rPr>
                <w:rFonts w:cs="Arial"/>
                <w:b w:val="0"/>
                <w:noProof/>
                <w:color w:val="auto"/>
                <w:sz w:val="24"/>
                <w:szCs w:val="24"/>
                <w:lang w:eastAsia="en-GB"/>
              </w:rPr>
              <w:t>Degree or equivalent</w:t>
            </w:r>
          </w:p>
        </w:tc>
        <w:tc>
          <w:tcPr>
            <w:tcW w:w="4961" w:type="dxa"/>
          </w:tcPr>
          <w:p w:rsidR="00845787" w:rsidRPr="006F126B" w:rsidRDefault="006F126B" w:rsidP="00052DFC">
            <w:pPr>
              <w:pStyle w:val="aTitle"/>
              <w:numPr>
                <w:ilvl w:val="0"/>
                <w:numId w:val="21"/>
              </w:numPr>
              <w:tabs>
                <w:tab w:val="clear" w:pos="4513"/>
              </w:tabs>
              <w:rPr>
                <w:rFonts w:cs="Arial"/>
                <w:b w:val="0"/>
                <w:noProof/>
                <w:color w:val="auto"/>
                <w:sz w:val="24"/>
                <w:szCs w:val="24"/>
                <w:lang w:eastAsia="en-GB"/>
              </w:rPr>
            </w:pPr>
            <w:r w:rsidRPr="006F126B">
              <w:rPr>
                <w:rFonts w:cs="Arial"/>
                <w:b w:val="0"/>
                <w:noProof/>
                <w:color w:val="auto"/>
                <w:sz w:val="24"/>
                <w:szCs w:val="24"/>
                <w:lang w:eastAsia="en-GB"/>
              </w:rPr>
              <w:t>L4 Professional Careers Guidance or Information, Advice and Guidance qualification</w:t>
            </w:r>
          </w:p>
        </w:tc>
      </w:tr>
      <w:tr w:rsidR="00040EE4" w:rsidTr="00040EE4">
        <w:trPr>
          <w:trHeight w:val="171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rsidR="006F126B" w:rsidRPr="006F126B" w:rsidRDefault="006F126B" w:rsidP="006F126B">
            <w:pPr>
              <w:pStyle w:val="aTitle"/>
              <w:numPr>
                <w:ilvl w:val="0"/>
                <w:numId w:val="21"/>
              </w:numPr>
              <w:rPr>
                <w:rFonts w:cs="Arial"/>
                <w:b w:val="0"/>
                <w:noProof/>
                <w:color w:val="auto"/>
                <w:sz w:val="24"/>
                <w:szCs w:val="24"/>
                <w:lang w:eastAsia="en-GB"/>
              </w:rPr>
            </w:pPr>
            <w:r w:rsidRPr="006F126B">
              <w:rPr>
                <w:rFonts w:cs="Arial"/>
                <w:b w:val="0"/>
                <w:noProof/>
                <w:color w:val="auto"/>
                <w:sz w:val="24"/>
                <w:szCs w:val="24"/>
                <w:lang w:eastAsia="en-GB"/>
              </w:rPr>
              <w:t>Experience of working with families and/or other professionals to meet the needs of children and/or young people</w:t>
            </w:r>
          </w:p>
          <w:p w:rsidR="006F126B" w:rsidRPr="006F126B" w:rsidRDefault="006F126B" w:rsidP="006F126B">
            <w:pPr>
              <w:pStyle w:val="aTitle"/>
              <w:numPr>
                <w:ilvl w:val="0"/>
                <w:numId w:val="21"/>
              </w:numPr>
              <w:rPr>
                <w:rFonts w:cs="Arial"/>
                <w:b w:val="0"/>
                <w:noProof/>
                <w:color w:val="auto"/>
                <w:sz w:val="24"/>
                <w:szCs w:val="24"/>
                <w:lang w:eastAsia="en-GB"/>
              </w:rPr>
            </w:pPr>
            <w:r w:rsidRPr="006F126B">
              <w:rPr>
                <w:rFonts w:cs="Arial"/>
                <w:b w:val="0"/>
                <w:noProof/>
                <w:color w:val="auto"/>
                <w:sz w:val="24"/>
                <w:szCs w:val="24"/>
                <w:lang w:eastAsia="en-GB"/>
              </w:rPr>
              <w:t>Experience of managing a caseload</w:t>
            </w:r>
          </w:p>
          <w:p w:rsidR="006F126B" w:rsidRPr="006F126B" w:rsidRDefault="006F126B" w:rsidP="006F126B">
            <w:pPr>
              <w:pStyle w:val="aTitle"/>
              <w:numPr>
                <w:ilvl w:val="0"/>
                <w:numId w:val="21"/>
              </w:numPr>
              <w:rPr>
                <w:rFonts w:cs="Arial"/>
                <w:b w:val="0"/>
                <w:noProof/>
                <w:color w:val="auto"/>
                <w:sz w:val="24"/>
                <w:szCs w:val="24"/>
                <w:lang w:eastAsia="en-GB"/>
              </w:rPr>
            </w:pPr>
            <w:r w:rsidRPr="006F126B">
              <w:rPr>
                <w:rFonts w:cs="Arial"/>
                <w:b w:val="0"/>
                <w:noProof/>
                <w:color w:val="auto"/>
                <w:sz w:val="24"/>
                <w:szCs w:val="24"/>
                <w:lang w:eastAsia="en-GB"/>
              </w:rPr>
              <w:t>Experience of collaborative working with a range of partners including: schools, colleges, health and social care professionals to affect change and problem solve</w:t>
            </w:r>
          </w:p>
          <w:p w:rsidR="00621974" w:rsidRPr="006F126B" w:rsidRDefault="00621974" w:rsidP="006F126B">
            <w:pPr>
              <w:pStyle w:val="aTitle"/>
              <w:tabs>
                <w:tab w:val="clear" w:pos="4513"/>
                <w:tab w:val="clear" w:pos="9026"/>
              </w:tabs>
              <w:ind w:left="360"/>
              <w:rPr>
                <w:rFonts w:cs="Arial"/>
                <w:b w:val="0"/>
                <w:noProof/>
                <w:color w:val="auto"/>
                <w:sz w:val="24"/>
                <w:szCs w:val="24"/>
                <w:lang w:eastAsia="en-GB"/>
              </w:rPr>
            </w:pPr>
          </w:p>
        </w:tc>
        <w:tc>
          <w:tcPr>
            <w:tcW w:w="4961" w:type="dxa"/>
          </w:tcPr>
          <w:p w:rsidR="006F126B" w:rsidRPr="006F126B" w:rsidRDefault="006F126B" w:rsidP="006F126B">
            <w:pPr>
              <w:pStyle w:val="aTitle"/>
              <w:numPr>
                <w:ilvl w:val="0"/>
                <w:numId w:val="21"/>
              </w:numPr>
              <w:rPr>
                <w:rFonts w:cs="Arial"/>
                <w:b w:val="0"/>
                <w:noProof/>
                <w:color w:val="auto"/>
                <w:sz w:val="24"/>
                <w:szCs w:val="24"/>
                <w:lang w:eastAsia="en-GB"/>
              </w:rPr>
            </w:pPr>
            <w:r w:rsidRPr="006F126B">
              <w:rPr>
                <w:rFonts w:cs="Arial"/>
                <w:b w:val="0"/>
                <w:noProof/>
                <w:color w:val="auto"/>
                <w:sz w:val="24"/>
                <w:szCs w:val="24"/>
                <w:lang w:eastAsia="en-GB"/>
              </w:rPr>
              <w:t xml:space="preserve">Experience of managing multi-disciplinary casework in a local authority setting </w:t>
            </w:r>
          </w:p>
          <w:p w:rsidR="006F126B" w:rsidRPr="006F126B" w:rsidRDefault="006F126B" w:rsidP="006F126B">
            <w:pPr>
              <w:pStyle w:val="aTitle"/>
              <w:numPr>
                <w:ilvl w:val="0"/>
                <w:numId w:val="21"/>
              </w:numPr>
              <w:rPr>
                <w:rFonts w:cs="Arial"/>
                <w:b w:val="0"/>
                <w:noProof/>
                <w:color w:val="auto"/>
                <w:sz w:val="24"/>
                <w:szCs w:val="24"/>
                <w:lang w:eastAsia="en-GB"/>
              </w:rPr>
            </w:pPr>
            <w:r w:rsidRPr="006F126B">
              <w:rPr>
                <w:rFonts w:cs="Arial"/>
                <w:b w:val="0"/>
                <w:noProof/>
                <w:color w:val="auto"/>
                <w:sz w:val="24"/>
                <w:szCs w:val="24"/>
                <w:lang w:eastAsia="en-GB"/>
              </w:rPr>
              <w:t>Production of high quality Education Health Care Plans</w:t>
            </w:r>
          </w:p>
          <w:p w:rsidR="006F126B" w:rsidRPr="006F126B" w:rsidRDefault="006F126B" w:rsidP="006F126B">
            <w:pPr>
              <w:pStyle w:val="aTitle"/>
              <w:numPr>
                <w:ilvl w:val="0"/>
                <w:numId w:val="21"/>
              </w:numPr>
              <w:rPr>
                <w:rFonts w:cs="Arial"/>
                <w:b w:val="0"/>
                <w:noProof/>
                <w:color w:val="auto"/>
                <w:sz w:val="24"/>
                <w:szCs w:val="24"/>
                <w:lang w:eastAsia="en-GB"/>
              </w:rPr>
            </w:pPr>
            <w:r w:rsidRPr="006F126B">
              <w:rPr>
                <w:rFonts w:cs="Arial"/>
                <w:b w:val="0"/>
                <w:noProof/>
                <w:color w:val="auto"/>
                <w:sz w:val="24"/>
                <w:szCs w:val="24"/>
                <w:lang w:eastAsia="en-GB"/>
              </w:rPr>
              <w:t>Experience of working directly with children and/or young people</w:t>
            </w:r>
          </w:p>
          <w:p w:rsidR="006F126B" w:rsidRPr="006F126B" w:rsidRDefault="006F126B" w:rsidP="006F126B">
            <w:pPr>
              <w:pStyle w:val="aTitle"/>
              <w:numPr>
                <w:ilvl w:val="0"/>
                <w:numId w:val="21"/>
              </w:numPr>
              <w:rPr>
                <w:rFonts w:cs="Arial"/>
                <w:b w:val="0"/>
                <w:noProof/>
                <w:color w:val="auto"/>
                <w:sz w:val="24"/>
                <w:szCs w:val="24"/>
                <w:lang w:eastAsia="en-GB"/>
              </w:rPr>
            </w:pPr>
            <w:r w:rsidRPr="006F126B">
              <w:rPr>
                <w:rFonts w:cs="Arial"/>
                <w:b w:val="0"/>
                <w:noProof/>
                <w:color w:val="auto"/>
                <w:sz w:val="24"/>
                <w:szCs w:val="24"/>
                <w:lang w:eastAsia="en-GB"/>
              </w:rPr>
              <w:t xml:space="preserve">An inclusive practitioner in respect of children and young people - specifically those who are Looked After, previously looked after and or those with SEND </w:t>
            </w:r>
          </w:p>
          <w:p w:rsidR="006F126B" w:rsidRPr="006F126B" w:rsidRDefault="006F126B" w:rsidP="006F126B">
            <w:pPr>
              <w:pStyle w:val="aTitle"/>
              <w:numPr>
                <w:ilvl w:val="0"/>
                <w:numId w:val="21"/>
              </w:numPr>
              <w:rPr>
                <w:rFonts w:cs="Arial"/>
                <w:b w:val="0"/>
                <w:noProof/>
                <w:color w:val="auto"/>
                <w:sz w:val="24"/>
                <w:szCs w:val="24"/>
                <w:lang w:eastAsia="en-GB"/>
              </w:rPr>
            </w:pPr>
            <w:r w:rsidRPr="006F126B">
              <w:rPr>
                <w:rFonts w:cs="Arial"/>
                <w:b w:val="0"/>
                <w:noProof/>
                <w:color w:val="auto"/>
                <w:sz w:val="24"/>
                <w:szCs w:val="24"/>
                <w:lang w:eastAsia="en-GB"/>
              </w:rPr>
              <w:t xml:space="preserve">Experience of working as a SENCO or Designated Teacher in an educational setting </w:t>
            </w:r>
          </w:p>
          <w:p w:rsidR="006F126B" w:rsidRPr="006F126B" w:rsidRDefault="006F126B" w:rsidP="006F126B">
            <w:pPr>
              <w:pStyle w:val="aTitle"/>
              <w:numPr>
                <w:ilvl w:val="0"/>
                <w:numId w:val="21"/>
              </w:numPr>
              <w:rPr>
                <w:rFonts w:cs="Arial"/>
                <w:b w:val="0"/>
                <w:noProof/>
                <w:color w:val="auto"/>
                <w:sz w:val="24"/>
                <w:szCs w:val="24"/>
                <w:lang w:eastAsia="en-GB"/>
              </w:rPr>
            </w:pPr>
            <w:r w:rsidRPr="006F126B">
              <w:rPr>
                <w:rFonts w:cs="Arial"/>
                <w:b w:val="0"/>
                <w:noProof/>
                <w:color w:val="auto"/>
                <w:sz w:val="24"/>
                <w:szCs w:val="24"/>
                <w:lang w:eastAsia="en-GB"/>
              </w:rPr>
              <w:t>Engaging in disagreement resolution techniques</w:t>
            </w:r>
          </w:p>
          <w:p w:rsidR="00845787" w:rsidRPr="006F126B" w:rsidRDefault="006F126B" w:rsidP="006F126B">
            <w:pPr>
              <w:pStyle w:val="aTitle"/>
              <w:numPr>
                <w:ilvl w:val="0"/>
                <w:numId w:val="21"/>
              </w:numPr>
              <w:rPr>
                <w:rFonts w:cs="Arial"/>
                <w:b w:val="0"/>
                <w:noProof/>
                <w:color w:val="auto"/>
                <w:sz w:val="24"/>
                <w:szCs w:val="24"/>
                <w:lang w:eastAsia="en-GB"/>
              </w:rPr>
            </w:pPr>
            <w:r w:rsidRPr="006F126B">
              <w:rPr>
                <w:rFonts w:cs="Arial"/>
                <w:b w:val="0"/>
                <w:noProof/>
                <w:color w:val="auto"/>
                <w:sz w:val="24"/>
                <w:szCs w:val="24"/>
                <w:lang w:eastAsia="en-GB"/>
              </w:rPr>
              <w:t>Experience of evaluating the quality of provision for children and young people with additional needs in an education setting</w:t>
            </w:r>
          </w:p>
        </w:tc>
      </w:tr>
      <w:tr w:rsidR="00040EE4" w:rsidTr="00040EE4">
        <w:trPr>
          <w:trHeight w:val="196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rsidR="006F126B" w:rsidRPr="006F126B" w:rsidRDefault="006F126B" w:rsidP="006F126B">
            <w:pPr>
              <w:pStyle w:val="aTitle"/>
              <w:numPr>
                <w:ilvl w:val="0"/>
                <w:numId w:val="21"/>
              </w:numPr>
              <w:rPr>
                <w:rFonts w:cs="Arial"/>
                <w:b w:val="0"/>
                <w:noProof/>
                <w:color w:val="auto"/>
                <w:sz w:val="24"/>
                <w:szCs w:val="24"/>
                <w:lang w:eastAsia="en-GB"/>
              </w:rPr>
            </w:pPr>
            <w:r w:rsidRPr="006F126B">
              <w:rPr>
                <w:rFonts w:cs="Arial"/>
                <w:b w:val="0"/>
                <w:noProof/>
                <w:color w:val="auto"/>
                <w:sz w:val="24"/>
                <w:szCs w:val="24"/>
                <w:lang w:eastAsia="en-GB"/>
              </w:rPr>
              <w:t>Thorough knowledge and understanding of Special Educational Needs and the Code of Practice 0-25</w:t>
            </w:r>
          </w:p>
          <w:p w:rsidR="006F126B" w:rsidRPr="006F126B" w:rsidRDefault="006F126B" w:rsidP="006F126B">
            <w:pPr>
              <w:pStyle w:val="aTitle"/>
              <w:numPr>
                <w:ilvl w:val="0"/>
                <w:numId w:val="21"/>
              </w:numPr>
              <w:rPr>
                <w:rFonts w:cs="Arial"/>
                <w:b w:val="0"/>
                <w:noProof/>
                <w:color w:val="auto"/>
                <w:sz w:val="24"/>
                <w:szCs w:val="24"/>
                <w:lang w:eastAsia="en-GB"/>
              </w:rPr>
            </w:pPr>
            <w:r w:rsidRPr="006F126B">
              <w:rPr>
                <w:rFonts w:cs="Arial"/>
                <w:b w:val="0"/>
                <w:noProof/>
                <w:color w:val="auto"/>
                <w:sz w:val="24"/>
                <w:szCs w:val="24"/>
                <w:lang w:eastAsia="en-GB"/>
              </w:rPr>
              <w:t>Strong communication skills (written and verbal)</w:t>
            </w:r>
          </w:p>
          <w:p w:rsidR="006F126B" w:rsidRPr="006F126B" w:rsidRDefault="006F126B" w:rsidP="006F126B">
            <w:pPr>
              <w:pStyle w:val="aTitle"/>
              <w:numPr>
                <w:ilvl w:val="0"/>
                <w:numId w:val="21"/>
              </w:numPr>
              <w:rPr>
                <w:rFonts w:cs="Arial"/>
                <w:b w:val="0"/>
                <w:noProof/>
                <w:color w:val="auto"/>
                <w:sz w:val="24"/>
                <w:szCs w:val="24"/>
                <w:lang w:eastAsia="en-GB"/>
              </w:rPr>
            </w:pPr>
            <w:r w:rsidRPr="006F126B">
              <w:rPr>
                <w:rFonts w:cs="Arial"/>
                <w:b w:val="0"/>
                <w:noProof/>
                <w:color w:val="auto"/>
                <w:sz w:val="24"/>
                <w:szCs w:val="24"/>
                <w:lang w:eastAsia="en-GB"/>
              </w:rPr>
              <w:t>Negotiation / influencing skills</w:t>
            </w:r>
          </w:p>
          <w:p w:rsidR="00621974" w:rsidRPr="006F126B" w:rsidRDefault="006F126B" w:rsidP="006F126B">
            <w:pPr>
              <w:pStyle w:val="aTitle"/>
              <w:numPr>
                <w:ilvl w:val="0"/>
                <w:numId w:val="21"/>
              </w:numPr>
              <w:tabs>
                <w:tab w:val="clear" w:pos="4513"/>
                <w:tab w:val="clear" w:pos="9026"/>
              </w:tabs>
              <w:rPr>
                <w:rFonts w:cs="Arial"/>
                <w:b w:val="0"/>
                <w:i/>
                <w:noProof/>
                <w:color w:val="auto"/>
                <w:sz w:val="24"/>
                <w:szCs w:val="24"/>
                <w:lang w:eastAsia="en-GB"/>
              </w:rPr>
            </w:pPr>
            <w:r w:rsidRPr="006F126B">
              <w:rPr>
                <w:rFonts w:cs="Arial"/>
                <w:b w:val="0"/>
                <w:noProof/>
                <w:color w:val="auto"/>
                <w:sz w:val="24"/>
                <w:szCs w:val="24"/>
                <w:lang w:eastAsia="en-GB"/>
              </w:rPr>
              <w:t>Good ICT skills</w:t>
            </w:r>
          </w:p>
        </w:tc>
        <w:tc>
          <w:tcPr>
            <w:tcW w:w="4961" w:type="dxa"/>
          </w:tcPr>
          <w:p w:rsidR="006F126B" w:rsidRPr="006F126B" w:rsidRDefault="006F126B" w:rsidP="006F126B">
            <w:pPr>
              <w:pStyle w:val="aTitle"/>
              <w:numPr>
                <w:ilvl w:val="0"/>
                <w:numId w:val="21"/>
              </w:numPr>
              <w:rPr>
                <w:rFonts w:cs="Arial"/>
                <w:b w:val="0"/>
                <w:noProof/>
                <w:color w:val="auto"/>
                <w:sz w:val="24"/>
                <w:szCs w:val="24"/>
                <w:lang w:eastAsia="en-GB"/>
              </w:rPr>
            </w:pPr>
            <w:r w:rsidRPr="006F126B">
              <w:rPr>
                <w:rFonts w:cs="Arial"/>
                <w:b w:val="0"/>
                <w:noProof/>
                <w:color w:val="auto"/>
                <w:sz w:val="24"/>
                <w:szCs w:val="24"/>
                <w:lang w:eastAsia="en-GB"/>
              </w:rPr>
              <w:t xml:space="preserve">Specialist areas e.g. in depth knowledge of SEND legal issues and the tribunal process </w:t>
            </w:r>
          </w:p>
          <w:p w:rsidR="006F126B" w:rsidRPr="006F126B" w:rsidRDefault="006F126B" w:rsidP="006F126B">
            <w:pPr>
              <w:pStyle w:val="aTitle"/>
              <w:numPr>
                <w:ilvl w:val="0"/>
                <w:numId w:val="21"/>
              </w:numPr>
              <w:rPr>
                <w:rFonts w:cs="Arial"/>
                <w:b w:val="0"/>
                <w:noProof/>
                <w:color w:val="auto"/>
                <w:sz w:val="24"/>
                <w:szCs w:val="24"/>
                <w:lang w:eastAsia="en-GB"/>
              </w:rPr>
            </w:pPr>
            <w:r w:rsidRPr="006F126B">
              <w:rPr>
                <w:rFonts w:cs="Arial"/>
                <w:b w:val="0"/>
                <w:noProof/>
                <w:color w:val="auto"/>
                <w:sz w:val="24"/>
                <w:szCs w:val="24"/>
                <w:lang w:eastAsia="en-GB"/>
              </w:rPr>
              <w:t>Understanding of children and young people’s development through 0-25 years</w:t>
            </w:r>
          </w:p>
          <w:p w:rsidR="006F126B" w:rsidRPr="006F126B" w:rsidRDefault="006F126B" w:rsidP="006F126B">
            <w:pPr>
              <w:pStyle w:val="aTitle"/>
              <w:numPr>
                <w:ilvl w:val="0"/>
                <w:numId w:val="21"/>
              </w:numPr>
              <w:rPr>
                <w:rFonts w:cs="Arial"/>
                <w:b w:val="0"/>
                <w:noProof/>
                <w:color w:val="auto"/>
                <w:sz w:val="24"/>
                <w:szCs w:val="24"/>
                <w:lang w:eastAsia="en-GB"/>
              </w:rPr>
            </w:pPr>
            <w:r w:rsidRPr="006F126B">
              <w:rPr>
                <w:rFonts w:cs="Arial"/>
                <w:b w:val="0"/>
                <w:noProof/>
                <w:color w:val="auto"/>
                <w:sz w:val="24"/>
                <w:szCs w:val="24"/>
                <w:lang w:eastAsia="en-GB"/>
              </w:rPr>
              <w:t>Understanding of SEND and vulnerable children outcomes planning, and planning that prepares children and young people for adulthood</w:t>
            </w:r>
          </w:p>
          <w:p w:rsidR="006F126B" w:rsidRPr="006F126B" w:rsidRDefault="006F126B" w:rsidP="006F126B">
            <w:pPr>
              <w:pStyle w:val="aTitle"/>
              <w:numPr>
                <w:ilvl w:val="0"/>
                <w:numId w:val="21"/>
              </w:numPr>
              <w:rPr>
                <w:rFonts w:cs="Arial"/>
                <w:b w:val="0"/>
                <w:noProof/>
                <w:color w:val="auto"/>
                <w:sz w:val="24"/>
                <w:szCs w:val="24"/>
                <w:lang w:eastAsia="en-GB"/>
              </w:rPr>
            </w:pPr>
            <w:r w:rsidRPr="006F126B">
              <w:rPr>
                <w:rFonts w:cs="Arial"/>
                <w:b w:val="0"/>
                <w:noProof/>
                <w:color w:val="auto"/>
                <w:sz w:val="24"/>
                <w:szCs w:val="24"/>
                <w:lang w:eastAsia="en-GB"/>
              </w:rPr>
              <w:t>Good knowledge of the Looked After and wider Social Care systems</w:t>
            </w:r>
          </w:p>
          <w:p w:rsidR="006F126B" w:rsidRPr="006F126B" w:rsidRDefault="006F126B" w:rsidP="006F126B">
            <w:pPr>
              <w:pStyle w:val="aTitle"/>
              <w:numPr>
                <w:ilvl w:val="0"/>
                <w:numId w:val="21"/>
              </w:numPr>
              <w:rPr>
                <w:rFonts w:cs="Arial"/>
                <w:b w:val="0"/>
                <w:noProof/>
                <w:color w:val="auto"/>
                <w:sz w:val="24"/>
                <w:szCs w:val="24"/>
                <w:lang w:eastAsia="en-GB"/>
              </w:rPr>
            </w:pPr>
            <w:r w:rsidRPr="006F126B">
              <w:rPr>
                <w:rFonts w:cs="Arial"/>
                <w:b w:val="0"/>
                <w:noProof/>
                <w:color w:val="auto"/>
                <w:sz w:val="24"/>
                <w:szCs w:val="24"/>
                <w:lang w:eastAsia="en-GB"/>
              </w:rPr>
              <w:t>Good knowledge of Early Years and/or Post 16 provision</w:t>
            </w:r>
          </w:p>
          <w:p w:rsidR="006F126B" w:rsidRPr="006F126B" w:rsidRDefault="006F126B" w:rsidP="006F126B">
            <w:pPr>
              <w:pStyle w:val="aTitle"/>
              <w:numPr>
                <w:ilvl w:val="0"/>
                <w:numId w:val="21"/>
              </w:numPr>
              <w:rPr>
                <w:rFonts w:cs="Arial"/>
                <w:b w:val="0"/>
                <w:noProof/>
                <w:color w:val="auto"/>
                <w:sz w:val="24"/>
                <w:szCs w:val="24"/>
                <w:lang w:eastAsia="en-GB"/>
              </w:rPr>
            </w:pPr>
            <w:r w:rsidRPr="006F126B">
              <w:rPr>
                <w:rFonts w:cs="Arial"/>
                <w:b w:val="0"/>
                <w:noProof/>
                <w:color w:val="auto"/>
                <w:sz w:val="24"/>
                <w:szCs w:val="24"/>
                <w:lang w:eastAsia="en-GB"/>
              </w:rPr>
              <w:t>Good knowledge of work and employment opportunities for young people with SEND.</w:t>
            </w:r>
          </w:p>
          <w:p w:rsidR="00845787" w:rsidRPr="006F126B" w:rsidRDefault="006F126B" w:rsidP="006F126B">
            <w:pPr>
              <w:pStyle w:val="aTitle"/>
              <w:numPr>
                <w:ilvl w:val="0"/>
                <w:numId w:val="21"/>
              </w:numPr>
              <w:rPr>
                <w:rFonts w:cs="Arial"/>
                <w:b w:val="0"/>
                <w:noProof/>
                <w:color w:val="auto"/>
                <w:sz w:val="24"/>
                <w:szCs w:val="24"/>
                <w:lang w:eastAsia="en-GB"/>
              </w:rPr>
            </w:pPr>
            <w:r w:rsidRPr="006F126B">
              <w:rPr>
                <w:rFonts w:cs="Arial"/>
                <w:b w:val="0"/>
                <w:noProof/>
                <w:color w:val="auto"/>
                <w:sz w:val="24"/>
                <w:szCs w:val="24"/>
                <w:lang w:eastAsia="en-GB"/>
              </w:rPr>
              <w:t>Well-developed knowledge of equality issues in schools and colleges.</w:t>
            </w:r>
          </w:p>
        </w:tc>
      </w:tr>
      <w:tr w:rsidR="00040EE4" w:rsidTr="00301CB9">
        <w:trPr>
          <w:trHeight w:val="1054"/>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rsidR="006F126B" w:rsidRPr="006F126B" w:rsidRDefault="006F126B" w:rsidP="006F126B">
            <w:pPr>
              <w:pStyle w:val="aTitle"/>
              <w:numPr>
                <w:ilvl w:val="0"/>
                <w:numId w:val="21"/>
              </w:numPr>
              <w:rPr>
                <w:rFonts w:cs="Arial"/>
                <w:b w:val="0"/>
                <w:noProof/>
                <w:color w:val="auto"/>
                <w:sz w:val="24"/>
                <w:szCs w:val="24"/>
                <w:lang w:eastAsia="en-GB"/>
              </w:rPr>
            </w:pPr>
            <w:r w:rsidRPr="006F126B">
              <w:rPr>
                <w:rFonts w:cs="Arial"/>
                <w:b w:val="0"/>
                <w:noProof/>
                <w:color w:val="auto"/>
                <w:sz w:val="24"/>
                <w:szCs w:val="24"/>
                <w:lang w:eastAsia="en-GB"/>
              </w:rPr>
              <w:t xml:space="preserve">A drive to work in co-production with children and young people and their families, corporate parents and care leavers to ensure that their voice is heard clearly and that they are able to contribute to their assessment and provision </w:t>
            </w:r>
          </w:p>
          <w:p w:rsidR="006F126B" w:rsidRPr="006F126B" w:rsidRDefault="006F126B" w:rsidP="006F126B">
            <w:pPr>
              <w:pStyle w:val="aTitle"/>
              <w:numPr>
                <w:ilvl w:val="0"/>
                <w:numId w:val="21"/>
              </w:numPr>
              <w:rPr>
                <w:rFonts w:cs="Arial"/>
                <w:b w:val="0"/>
                <w:noProof/>
                <w:color w:val="auto"/>
                <w:sz w:val="24"/>
                <w:szCs w:val="24"/>
                <w:lang w:eastAsia="en-GB"/>
              </w:rPr>
            </w:pPr>
            <w:r w:rsidRPr="006F126B">
              <w:rPr>
                <w:rFonts w:cs="Arial"/>
                <w:b w:val="0"/>
                <w:noProof/>
                <w:color w:val="auto"/>
                <w:sz w:val="24"/>
                <w:szCs w:val="24"/>
                <w:lang w:eastAsia="en-GB"/>
              </w:rPr>
              <w:t>Commitment to an inclusive ethos for the education of children and young people with SEND and those looked after or previously looked after.</w:t>
            </w:r>
          </w:p>
          <w:p w:rsidR="006F126B" w:rsidRPr="006F126B" w:rsidRDefault="006F126B" w:rsidP="006F126B">
            <w:pPr>
              <w:pStyle w:val="aTitle"/>
              <w:numPr>
                <w:ilvl w:val="0"/>
                <w:numId w:val="21"/>
              </w:numPr>
              <w:rPr>
                <w:rFonts w:cs="Arial"/>
                <w:b w:val="0"/>
                <w:noProof/>
                <w:color w:val="auto"/>
                <w:sz w:val="24"/>
                <w:szCs w:val="24"/>
                <w:lang w:eastAsia="en-GB"/>
              </w:rPr>
            </w:pPr>
            <w:r w:rsidRPr="006F126B">
              <w:rPr>
                <w:rFonts w:cs="Arial"/>
                <w:b w:val="0"/>
                <w:noProof/>
                <w:color w:val="auto"/>
                <w:sz w:val="24"/>
                <w:szCs w:val="24"/>
                <w:lang w:eastAsia="en-GB"/>
              </w:rPr>
              <w:t>Ability to contribute to a team ethos underpinned by strong performance management and quality improvement.</w:t>
            </w:r>
          </w:p>
          <w:p w:rsidR="006F126B" w:rsidRPr="006F126B" w:rsidRDefault="006F126B" w:rsidP="006F126B">
            <w:pPr>
              <w:pStyle w:val="aTitle"/>
              <w:numPr>
                <w:ilvl w:val="0"/>
                <w:numId w:val="21"/>
              </w:numPr>
              <w:rPr>
                <w:rFonts w:cs="Arial"/>
                <w:b w:val="0"/>
                <w:noProof/>
                <w:color w:val="auto"/>
                <w:sz w:val="24"/>
                <w:szCs w:val="24"/>
                <w:lang w:eastAsia="en-GB"/>
              </w:rPr>
            </w:pPr>
            <w:r w:rsidRPr="006F126B">
              <w:rPr>
                <w:rFonts w:cs="Arial"/>
                <w:b w:val="0"/>
                <w:noProof/>
                <w:color w:val="auto"/>
                <w:sz w:val="24"/>
                <w:szCs w:val="24"/>
                <w:lang w:eastAsia="en-GB"/>
              </w:rPr>
              <w:t>Demonstrate a commitment to improving outcomes for young people, particularly as they relate to Preparing for Adulthood.</w:t>
            </w:r>
          </w:p>
          <w:p w:rsidR="006F126B" w:rsidRPr="006F126B" w:rsidRDefault="006F126B" w:rsidP="006F126B">
            <w:pPr>
              <w:pStyle w:val="aTitle"/>
              <w:numPr>
                <w:ilvl w:val="0"/>
                <w:numId w:val="21"/>
              </w:numPr>
              <w:rPr>
                <w:rFonts w:cs="Arial"/>
                <w:b w:val="0"/>
                <w:noProof/>
                <w:color w:val="auto"/>
                <w:sz w:val="24"/>
                <w:szCs w:val="24"/>
                <w:lang w:eastAsia="en-GB"/>
              </w:rPr>
            </w:pPr>
            <w:r w:rsidRPr="006F126B">
              <w:rPr>
                <w:rFonts w:cs="Arial"/>
                <w:b w:val="0"/>
                <w:noProof/>
                <w:color w:val="auto"/>
                <w:sz w:val="24"/>
                <w:szCs w:val="24"/>
                <w:lang w:eastAsia="en-GB"/>
              </w:rPr>
              <w:t>Adaptability, flexibility and the capacity to work effectively under pressure and to tight deadlines.</w:t>
            </w:r>
          </w:p>
          <w:p w:rsidR="006F126B" w:rsidRPr="006F126B" w:rsidRDefault="006F126B" w:rsidP="006F126B">
            <w:pPr>
              <w:pStyle w:val="aTitle"/>
              <w:numPr>
                <w:ilvl w:val="0"/>
                <w:numId w:val="21"/>
              </w:numPr>
              <w:rPr>
                <w:rFonts w:cs="Arial"/>
                <w:b w:val="0"/>
                <w:noProof/>
                <w:color w:val="auto"/>
                <w:sz w:val="24"/>
                <w:szCs w:val="24"/>
                <w:lang w:eastAsia="en-GB"/>
              </w:rPr>
            </w:pPr>
            <w:r w:rsidRPr="006F126B">
              <w:rPr>
                <w:rFonts w:cs="Arial"/>
                <w:b w:val="0"/>
                <w:noProof/>
                <w:color w:val="auto"/>
                <w:sz w:val="24"/>
                <w:szCs w:val="24"/>
                <w:lang w:eastAsia="en-GB"/>
              </w:rPr>
              <w:t>Strong interpersonal and negotiation skills that can influence positive change.</w:t>
            </w:r>
          </w:p>
          <w:p w:rsidR="006F126B" w:rsidRPr="006F126B" w:rsidRDefault="006F126B" w:rsidP="006F126B">
            <w:pPr>
              <w:pStyle w:val="aTitle"/>
              <w:numPr>
                <w:ilvl w:val="0"/>
                <w:numId w:val="21"/>
              </w:numPr>
              <w:rPr>
                <w:rFonts w:cs="Arial"/>
                <w:b w:val="0"/>
                <w:noProof/>
                <w:color w:val="auto"/>
                <w:sz w:val="24"/>
                <w:szCs w:val="24"/>
                <w:lang w:eastAsia="en-GB"/>
              </w:rPr>
            </w:pPr>
            <w:r w:rsidRPr="006F126B">
              <w:rPr>
                <w:rFonts w:cs="Arial"/>
                <w:b w:val="0"/>
                <w:noProof/>
                <w:color w:val="auto"/>
                <w:sz w:val="24"/>
                <w:szCs w:val="24"/>
                <w:lang w:eastAsia="en-GB"/>
              </w:rPr>
              <w:t>Skilful assertion techniques</w:t>
            </w:r>
          </w:p>
          <w:p w:rsidR="006F126B" w:rsidRPr="006F126B" w:rsidRDefault="006F126B" w:rsidP="006F126B">
            <w:pPr>
              <w:pStyle w:val="aTitle"/>
              <w:numPr>
                <w:ilvl w:val="0"/>
                <w:numId w:val="21"/>
              </w:numPr>
              <w:rPr>
                <w:rFonts w:cs="Arial"/>
                <w:b w:val="0"/>
                <w:noProof/>
                <w:color w:val="auto"/>
                <w:sz w:val="24"/>
                <w:szCs w:val="24"/>
                <w:lang w:eastAsia="en-GB"/>
              </w:rPr>
            </w:pPr>
            <w:r w:rsidRPr="006F126B">
              <w:rPr>
                <w:rFonts w:cs="Arial"/>
                <w:b w:val="0"/>
                <w:noProof/>
                <w:color w:val="auto"/>
                <w:sz w:val="24"/>
                <w:szCs w:val="24"/>
                <w:lang w:eastAsia="en-GB"/>
              </w:rPr>
              <w:t>Commitment to maintaining and improving quality standards.</w:t>
            </w:r>
          </w:p>
          <w:p w:rsidR="006F126B" w:rsidRPr="006F126B" w:rsidRDefault="006F126B" w:rsidP="006F126B">
            <w:pPr>
              <w:pStyle w:val="aTitle"/>
              <w:numPr>
                <w:ilvl w:val="0"/>
                <w:numId w:val="21"/>
              </w:numPr>
              <w:rPr>
                <w:rFonts w:cs="Arial"/>
                <w:b w:val="0"/>
                <w:noProof/>
                <w:color w:val="auto"/>
                <w:sz w:val="24"/>
                <w:szCs w:val="24"/>
                <w:lang w:eastAsia="en-GB"/>
              </w:rPr>
            </w:pPr>
            <w:r w:rsidRPr="006F126B">
              <w:rPr>
                <w:rFonts w:cs="Arial"/>
                <w:b w:val="0"/>
                <w:noProof/>
                <w:color w:val="auto"/>
                <w:sz w:val="24"/>
                <w:szCs w:val="24"/>
                <w:lang w:eastAsia="en-GB"/>
              </w:rPr>
              <w:lastRenderedPageBreak/>
              <w:t>Enthusiasm to work as part of a team.</w:t>
            </w:r>
          </w:p>
          <w:p w:rsidR="006F126B" w:rsidRPr="006F126B" w:rsidRDefault="006F126B" w:rsidP="006F126B">
            <w:pPr>
              <w:pStyle w:val="aTitle"/>
              <w:numPr>
                <w:ilvl w:val="0"/>
                <w:numId w:val="21"/>
              </w:numPr>
              <w:rPr>
                <w:rFonts w:cs="Arial"/>
                <w:b w:val="0"/>
                <w:noProof/>
                <w:color w:val="auto"/>
                <w:sz w:val="24"/>
                <w:szCs w:val="24"/>
                <w:lang w:eastAsia="en-GB"/>
              </w:rPr>
            </w:pPr>
            <w:r w:rsidRPr="006F126B">
              <w:rPr>
                <w:rFonts w:cs="Arial"/>
                <w:b w:val="0"/>
                <w:noProof/>
                <w:color w:val="auto"/>
                <w:sz w:val="24"/>
                <w:szCs w:val="24"/>
                <w:lang w:eastAsia="en-GB"/>
              </w:rPr>
              <w:t>Ability to take initiative and personal responsibility for delegated tasks.</w:t>
            </w:r>
          </w:p>
          <w:p w:rsidR="00040EE4" w:rsidRPr="006F126B" w:rsidRDefault="006F126B" w:rsidP="006F126B">
            <w:pPr>
              <w:pStyle w:val="aTitle"/>
              <w:numPr>
                <w:ilvl w:val="0"/>
                <w:numId w:val="21"/>
              </w:numPr>
              <w:rPr>
                <w:rFonts w:cs="Arial"/>
                <w:b w:val="0"/>
                <w:noProof/>
                <w:color w:val="auto"/>
                <w:sz w:val="24"/>
                <w:szCs w:val="24"/>
                <w:lang w:eastAsia="en-GB"/>
              </w:rPr>
            </w:pPr>
            <w:r w:rsidRPr="006F126B">
              <w:rPr>
                <w:rFonts w:cs="Arial"/>
                <w:b w:val="0"/>
                <w:noProof/>
                <w:color w:val="auto"/>
                <w:sz w:val="24"/>
                <w:szCs w:val="24"/>
                <w:lang w:eastAsia="en-GB"/>
              </w:rPr>
              <w:t>Takes a solution focussed approach.</w:t>
            </w:r>
          </w:p>
        </w:tc>
        <w:tc>
          <w:tcPr>
            <w:tcW w:w="4961" w:type="dxa"/>
          </w:tcPr>
          <w:p w:rsidR="00845787" w:rsidRPr="006F126B" w:rsidRDefault="00845787" w:rsidP="00301CB9">
            <w:pPr>
              <w:pStyle w:val="aTitle"/>
              <w:tabs>
                <w:tab w:val="clear" w:pos="4513"/>
                <w:tab w:val="clear" w:pos="9026"/>
              </w:tabs>
              <w:rPr>
                <w:rFonts w:cs="Arial"/>
                <w:b w:val="0"/>
                <w:noProof/>
                <w:color w:val="auto"/>
                <w:sz w:val="24"/>
                <w:szCs w:val="24"/>
                <w:lang w:eastAsia="en-GB"/>
              </w:rPr>
            </w:pPr>
          </w:p>
        </w:tc>
      </w:tr>
      <w:tr w:rsidR="00301CB9" w:rsidTr="00301CB9">
        <w:trPr>
          <w:trHeight w:val="1054"/>
        </w:trPr>
        <w:tc>
          <w:tcPr>
            <w:tcW w:w="1671" w:type="dxa"/>
            <w:shd w:val="clear" w:color="auto" w:fill="F2F2F2" w:themeFill="background1" w:themeFillShade="F2"/>
          </w:tcPr>
          <w:p w:rsidR="00301CB9" w:rsidRPr="00845787" w:rsidRDefault="00301CB9" w:rsidP="00D70625">
            <w:pPr>
              <w:pStyle w:val="aTitle"/>
              <w:tabs>
                <w:tab w:val="clear" w:pos="4513"/>
              </w:tabs>
              <w:rPr>
                <w:rFonts w:cs="Arial"/>
                <w:noProof/>
                <w:color w:val="auto"/>
                <w:sz w:val="22"/>
                <w:lang w:eastAsia="en-GB"/>
              </w:rPr>
            </w:pPr>
            <w:r>
              <w:rPr>
                <w:rFonts w:cs="Arial"/>
                <w:noProof/>
                <w:color w:val="auto"/>
                <w:sz w:val="22"/>
                <w:lang w:eastAsia="en-GB"/>
              </w:rPr>
              <w:t>Special Requirements</w:t>
            </w:r>
          </w:p>
        </w:tc>
        <w:tc>
          <w:tcPr>
            <w:tcW w:w="9102" w:type="dxa"/>
          </w:tcPr>
          <w:p w:rsidR="00301CB9" w:rsidRPr="006F126B" w:rsidRDefault="00301CB9" w:rsidP="006F126B">
            <w:pPr>
              <w:pStyle w:val="aTitle"/>
              <w:numPr>
                <w:ilvl w:val="0"/>
                <w:numId w:val="21"/>
              </w:numPr>
              <w:rPr>
                <w:rFonts w:cs="Arial"/>
                <w:b w:val="0"/>
                <w:noProof/>
                <w:color w:val="auto"/>
                <w:sz w:val="24"/>
                <w:szCs w:val="24"/>
                <w:lang w:eastAsia="en-GB"/>
              </w:rPr>
            </w:pPr>
            <w:r w:rsidRPr="00301CB9">
              <w:rPr>
                <w:rFonts w:cs="Arial"/>
                <w:b w:val="0"/>
                <w:noProof/>
                <w:color w:val="auto"/>
                <w:sz w:val="24"/>
                <w:szCs w:val="24"/>
                <w:lang w:eastAsia="en-GB"/>
              </w:rPr>
              <w:t>Travel is as essential requirement of the post</w:t>
            </w:r>
          </w:p>
        </w:tc>
        <w:tc>
          <w:tcPr>
            <w:tcW w:w="4961" w:type="dxa"/>
          </w:tcPr>
          <w:p w:rsidR="00301CB9" w:rsidRPr="006F126B" w:rsidRDefault="00301CB9" w:rsidP="00301CB9">
            <w:pPr>
              <w:pStyle w:val="aTitle"/>
              <w:tabs>
                <w:tab w:val="clear" w:pos="4513"/>
                <w:tab w:val="clear" w:pos="9026"/>
              </w:tabs>
              <w:rPr>
                <w:rFonts w:cs="Arial"/>
                <w:b w:val="0"/>
                <w:noProof/>
                <w:color w:val="auto"/>
                <w:sz w:val="24"/>
                <w:szCs w:val="24"/>
                <w:lang w:eastAsia="en-GB"/>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bookmarkStart w:id="0" w:name="_GoBack"/>
      <w:bookmarkEnd w:id="0"/>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AED6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344F3"/>
    <w:multiLevelType w:val="hybridMultilevel"/>
    <w:tmpl w:val="A544ABD8"/>
    <w:lvl w:ilvl="0" w:tplc="43300E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61AA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1F09C3"/>
    <w:multiLevelType w:val="hybridMultilevel"/>
    <w:tmpl w:val="6D94591A"/>
    <w:lvl w:ilvl="0" w:tplc="43300E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3E168B"/>
    <w:multiLevelType w:val="hybridMultilevel"/>
    <w:tmpl w:val="A22273CA"/>
    <w:lvl w:ilvl="0" w:tplc="43300E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2866F2"/>
    <w:multiLevelType w:val="hybridMultilevel"/>
    <w:tmpl w:val="3120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4"/>
  </w:num>
  <w:num w:numId="4">
    <w:abstractNumId w:val="13"/>
  </w:num>
  <w:num w:numId="5">
    <w:abstractNumId w:val="1"/>
  </w:num>
  <w:num w:numId="6">
    <w:abstractNumId w:val="18"/>
  </w:num>
  <w:num w:numId="7">
    <w:abstractNumId w:val="22"/>
  </w:num>
  <w:num w:numId="8">
    <w:abstractNumId w:val="6"/>
  </w:num>
  <w:num w:numId="9">
    <w:abstractNumId w:val="21"/>
  </w:num>
  <w:num w:numId="10">
    <w:abstractNumId w:val="15"/>
  </w:num>
  <w:num w:numId="11">
    <w:abstractNumId w:val="5"/>
  </w:num>
  <w:num w:numId="12">
    <w:abstractNumId w:val="20"/>
  </w:num>
  <w:num w:numId="13">
    <w:abstractNumId w:val="19"/>
  </w:num>
  <w:num w:numId="14">
    <w:abstractNumId w:val="16"/>
  </w:num>
  <w:num w:numId="15">
    <w:abstractNumId w:val="11"/>
  </w:num>
  <w:num w:numId="16">
    <w:abstractNumId w:val="10"/>
  </w:num>
  <w:num w:numId="17">
    <w:abstractNumId w:val="2"/>
  </w:num>
  <w:num w:numId="18">
    <w:abstractNumId w:val="0"/>
  </w:num>
  <w:num w:numId="19">
    <w:abstractNumId w:val="8"/>
  </w:num>
  <w:num w:numId="20">
    <w:abstractNumId w:val="14"/>
  </w:num>
  <w:num w:numId="21">
    <w:abstractNumId w:val="9"/>
  </w:num>
  <w:num w:numId="22">
    <w:abstractNumId w:val="24"/>
  </w:num>
  <w:num w:numId="23">
    <w:abstractNumId w:val="23"/>
  </w:num>
  <w:num w:numId="24">
    <w:abstractNumId w:val="1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52DFC"/>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01CB9"/>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26B"/>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23CCA8"/>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A92FAB3-3602-40DF-8E6D-6AC9A03E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7</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10271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2</cp:revision>
  <cp:lastPrinted>2018-08-31T10:37:00Z</cp:lastPrinted>
  <dcterms:created xsi:type="dcterms:W3CDTF">2019-11-25T11:33:00Z</dcterms:created>
  <dcterms:modified xsi:type="dcterms:W3CDTF">2019-11-25T11:33:00Z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