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1C7" w:rsidRDefault="007E01C7" w:rsidP="007E01C7">
      <w:pPr>
        <w:jc w:val="center"/>
      </w:pPr>
      <w:r w:rsidRPr="00471E9C">
        <w:rPr>
          <w:rFonts w:cs="Arial"/>
          <w:noProof/>
          <w:sz w:val="22"/>
          <w:lang w:eastAsia="en-GB"/>
        </w:rPr>
        <w:drawing>
          <wp:inline distT="0" distB="0" distL="0" distR="0" wp14:anchorId="6B7C57EA" wp14:editId="1C45961C">
            <wp:extent cx="3190875" cy="1333500"/>
            <wp:effectExtent l="0" t="0" r="0" b="0"/>
            <wp:docPr id="7" name="Picture 4" descr="C:\Users\angela.wilson\AppData\Local\Microsoft\Windows\INetCache\Content.Outlook\K7BXX793\LogoESF_Col_Landsca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gela.wilson\AppData\Local\Microsoft\Windows\INetCache\Content.Outlook\K7BXX793\LogoESF_Col_Landscape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333500"/>
                    </a:xfrm>
                    <a:prstGeom prst="rect">
                      <a:avLst/>
                    </a:prstGeom>
                    <a:noFill/>
                    <a:ln>
                      <a:noFill/>
                    </a:ln>
                  </pic:spPr>
                </pic:pic>
              </a:graphicData>
            </a:graphic>
          </wp:inline>
        </w:drawing>
      </w: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7E01C7" w:rsidP="00D70625">
            <w:pPr>
              <w:rPr>
                <w:rFonts w:cs="Arial"/>
                <w:szCs w:val="24"/>
              </w:rPr>
            </w:pPr>
            <w:r>
              <w:rPr>
                <w:rFonts w:cs="Arial"/>
                <w:szCs w:val="24"/>
              </w:rPr>
              <w:t>Progression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7E01C7" w:rsidP="00D70625">
            <w:pPr>
              <w:rPr>
                <w:rFonts w:cs="Arial"/>
                <w:szCs w:val="24"/>
              </w:rPr>
            </w:pPr>
            <w:r>
              <w:rPr>
                <w:rFonts w:cs="Arial"/>
                <w:szCs w:val="24"/>
              </w:rPr>
              <w:t>N10053</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7E01C7" w:rsidP="00D70625">
            <w:pPr>
              <w:rPr>
                <w:rFonts w:cs="Arial"/>
                <w:szCs w:val="24"/>
              </w:rPr>
            </w:pPr>
            <w:r>
              <w:rPr>
                <w:rFonts w:cs="Arial"/>
                <w:szCs w:val="24"/>
              </w:rPr>
              <w:t>Grade 6</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w:t>
            </w:r>
          </w:p>
        </w:tc>
        <w:tc>
          <w:tcPr>
            <w:tcW w:w="7933" w:type="dxa"/>
            <w:vAlign w:val="center"/>
          </w:tcPr>
          <w:p w:rsidR="00845787" w:rsidRPr="00C676CB" w:rsidRDefault="007E01C7" w:rsidP="00D70625">
            <w:pPr>
              <w:rPr>
                <w:rFonts w:cs="Arial"/>
                <w:szCs w:val="24"/>
              </w:rPr>
            </w:pPr>
            <w:r>
              <w:rPr>
                <w:rFonts w:cs="Arial"/>
                <w:szCs w:val="24"/>
              </w:rPr>
              <w:t xml:space="preserve">Children and Young Peoples Services </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Service Area</w:t>
            </w:r>
          </w:p>
        </w:tc>
        <w:tc>
          <w:tcPr>
            <w:tcW w:w="7933" w:type="dxa"/>
            <w:vAlign w:val="center"/>
          </w:tcPr>
          <w:p w:rsidR="00845787" w:rsidRPr="00C676CB" w:rsidRDefault="007E01C7" w:rsidP="00D70625">
            <w:pPr>
              <w:rPr>
                <w:rFonts w:cs="Arial"/>
                <w:szCs w:val="24"/>
              </w:rPr>
            </w:pPr>
            <w:r>
              <w:rPr>
                <w:rFonts w:cs="Arial"/>
                <w:szCs w:val="24"/>
              </w:rPr>
              <w:t>Education &amp; Skills – Progression &amp; Skills</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rsidR="00845787" w:rsidRPr="00C676CB" w:rsidRDefault="007E01C7" w:rsidP="00D70625">
            <w:pPr>
              <w:rPr>
                <w:rFonts w:cs="Arial"/>
                <w:szCs w:val="24"/>
              </w:rPr>
            </w:pPr>
            <w:r w:rsidRPr="007E01C7">
              <w:rPr>
                <w:rFonts w:cs="Arial"/>
                <w:szCs w:val="24"/>
              </w:rPr>
              <w:t>The Progression Worker is accountable to the Progression Team Leader and Progression Team Leader (Specialist).</w:t>
            </w:r>
          </w:p>
        </w:tc>
      </w:tr>
      <w:tr w:rsidR="00845787" w:rsidRPr="009A4FDD" w:rsidTr="00D70625">
        <w:trPr>
          <w:trHeight w:val="709"/>
        </w:trPr>
        <w:tc>
          <w:tcPr>
            <w:tcW w:w="2552" w:type="dxa"/>
            <w:tcBorders>
              <w:bottom w:val="single" w:sz="4" w:space="0" w:color="000000"/>
            </w:tcBorders>
            <w:shd w:val="clear" w:color="auto" w:fill="F2F2F2" w:themeFill="background1" w:themeFillShade="F2"/>
            <w:vAlign w:val="center"/>
          </w:tcPr>
          <w:p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rsidR="00845787" w:rsidRPr="00E14818" w:rsidRDefault="007E01C7" w:rsidP="00D70625">
            <w:pPr>
              <w:rPr>
                <w:rFonts w:cs="Arial"/>
                <w:szCs w:val="24"/>
              </w:rPr>
            </w:pPr>
            <w:r>
              <w:rPr>
                <w:rFonts w:cs="Arial"/>
                <w:szCs w:val="24"/>
              </w:rPr>
              <w:t>You will be based in a locality within County Durham,</w:t>
            </w:r>
            <w:r w:rsidR="00845787" w:rsidRPr="00E14818">
              <w:rPr>
                <w:rFonts w:cs="Arial"/>
                <w:szCs w:val="24"/>
              </w:rPr>
              <w:t xml:space="preserve"> but you may be required to work at any Council</w:t>
            </w:r>
            <w:r w:rsidR="00845787">
              <w:rPr>
                <w:rFonts w:cs="Arial"/>
                <w:szCs w:val="24"/>
              </w:rPr>
              <w:t xml:space="preserve"> workplace within County Durham.</w:t>
            </w:r>
          </w:p>
        </w:tc>
      </w:tr>
      <w:tr w:rsidR="00845787" w:rsidRPr="00D90B5D" w:rsidTr="00D70625">
        <w:trPr>
          <w:trHeight w:val="80"/>
        </w:trPr>
        <w:tc>
          <w:tcPr>
            <w:tcW w:w="10485" w:type="dxa"/>
            <w:gridSpan w:val="2"/>
            <w:tcBorders>
              <w:left w:val="nil"/>
              <w:right w:val="nil"/>
            </w:tcBorders>
            <w:shd w:val="clear" w:color="auto" w:fill="auto"/>
            <w:vAlign w:val="center"/>
          </w:tcPr>
          <w:p w:rsidR="00845787" w:rsidRPr="00C676CB" w:rsidRDefault="00845787" w:rsidP="00D70625">
            <w:pPr>
              <w:jc w:val="right"/>
              <w:rPr>
                <w:rFonts w:cs="Arial"/>
                <w:szCs w:val="24"/>
              </w:rPr>
            </w:pP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DBS</w:t>
            </w:r>
          </w:p>
        </w:tc>
        <w:tc>
          <w:tcPr>
            <w:tcW w:w="7933" w:type="dxa"/>
            <w:vAlign w:val="center"/>
          </w:tcPr>
          <w:p w:rsidR="00845787" w:rsidRPr="00BF3629" w:rsidRDefault="00845787" w:rsidP="00D70625">
            <w:pPr>
              <w:rPr>
                <w:rFonts w:cs="Arial"/>
                <w:szCs w:val="24"/>
              </w:rPr>
            </w:pPr>
            <w:r w:rsidRPr="00BF3629">
              <w:rPr>
                <w:rFonts w:cs="Arial"/>
                <w:szCs w:val="24"/>
              </w:rPr>
              <w:t>This post is subject to a</w:t>
            </w:r>
            <w:r w:rsidR="007E01C7" w:rsidRPr="00BF3629">
              <w:rPr>
                <w:rFonts w:cs="Arial"/>
                <w:szCs w:val="24"/>
              </w:rPr>
              <w:t>n</w:t>
            </w:r>
            <w:bookmarkStart w:id="0" w:name="_GoBack"/>
            <w:bookmarkEnd w:id="0"/>
            <w:r w:rsidRPr="00BF3629">
              <w:rPr>
                <w:rFonts w:cs="Arial"/>
                <w:szCs w:val="24"/>
              </w:rPr>
              <w:t xml:space="preserve"> enhanced disclosure.</w:t>
            </w:r>
          </w:p>
        </w:tc>
      </w:tr>
      <w:tr w:rsidR="00845787" w:rsidRPr="00D90B5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Pr>
                <w:rFonts w:cs="Arial"/>
                <w:b/>
                <w:szCs w:val="24"/>
              </w:rPr>
              <w:t>Flexitime</w:t>
            </w:r>
          </w:p>
        </w:tc>
        <w:tc>
          <w:tcPr>
            <w:tcW w:w="7933" w:type="dxa"/>
            <w:vAlign w:val="center"/>
          </w:tcPr>
          <w:p w:rsidR="00845787" w:rsidRPr="00BF3629" w:rsidRDefault="00845787" w:rsidP="00D70625">
            <w:pPr>
              <w:rPr>
                <w:rFonts w:cs="Arial"/>
                <w:szCs w:val="24"/>
              </w:rPr>
            </w:pPr>
            <w:r w:rsidRPr="00BF3629">
              <w:rPr>
                <w:rFonts w:cs="Arial"/>
                <w:szCs w:val="24"/>
              </w:rPr>
              <w:t>This post is eligible for flexitime.</w:t>
            </w:r>
          </w:p>
        </w:tc>
      </w:tr>
      <w:tr w:rsidR="00845787" w:rsidRPr="00D90B5D" w:rsidTr="007C7799">
        <w:trPr>
          <w:trHeight w:val="1320"/>
        </w:trPr>
        <w:tc>
          <w:tcPr>
            <w:tcW w:w="2552" w:type="dxa"/>
            <w:tcBorders>
              <w:bottom w:val="single" w:sz="4" w:space="0" w:color="000000"/>
            </w:tcBorders>
            <w:shd w:val="clear" w:color="auto" w:fill="F2F2F2" w:themeFill="background1" w:themeFillShade="F2"/>
            <w:vAlign w:val="center"/>
          </w:tcPr>
          <w:p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rsidR="00845787" w:rsidRPr="00BF3629" w:rsidRDefault="00845787" w:rsidP="00D70625">
            <w:pPr>
              <w:rPr>
                <w:rFonts w:cs="Arial"/>
                <w:szCs w:val="24"/>
              </w:rPr>
            </w:pPr>
            <w:r w:rsidRPr="00BF3629">
              <w:rPr>
                <w:rFonts w:cs="Arial"/>
                <w:szCs w:val="24"/>
              </w:rPr>
              <w:t>This post</w:t>
            </w:r>
            <w:r w:rsidR="007E01C7" w:rsidRPr="00BF3629">
              <w:rPr>
                <w:rFonts w:cs="Arial"/>
                <w:szCs w:val="24"/>
              </w:rPr>
              <w:t xml:space="preserve"> </w:t>
            </w:r>
            <w:r w:rsidRPr="00BF3629">
              <w:rPr>
                <w:rFonts w:cs="Arial"/>
                <w:szCs w:val="24"/>
              </w:rPr>
              <w:t>is not designated as a politically restricted pos</w:t>
            </w:r>
            <w:r w:rsidR="007C7799" w:rsidRPr="00BF3629">
              <w:rPr>
                <w:rFonts w:cs="Arial"/>
                <w:szCs w:val="24"/>
              </w:rPr>
              <w:t>t in accordance with the requirements of Section 1(5) of the Local Government and Housing Act 1989 and by regulations made from time to time by the Secretary of State.</w:t>
            </w:r>
          </w:p>
        </w:tc>
      </w:tr>
      <w:tr w:rsidR="00681A84" w:rsidRPr="00D90B5D" w:rsidTr="00681A84">
        <w:trPr>
          <w:trHeight w:val="1320"/>
        </w:trPr>
        <w:tc>
          <w:tcPr>
            <w:tcW w:w="2552" w:type="dxa"/>
            <w:tcBorders>
              <w:bottom w:val="single" w:sz="4" w:space="0" w:color="auto"/>
            </w:tcBorders>
            <w:shd w:val="clear" w:color="auto" w:fill="F2F2F2" w:themeFill="background1" w:themeFillShade="F2"/>
            <w:vAlign w:val="center"/>
          </w:tcPr>
          <w:p w:rsidR="00681A84" w:rsidRDefault="007E01C7" w:rsidP="00D70625">
            <w:pPr>
              <w:rPr>
                <w:rFonts w:cs="Arial"/>
                <w:b/>
                <w:szCs w:val="24"/>
              </w:rPr>
            </w:pPr>
            <w:r>
              <w:rPr>
                <w:rFonts w:cs="Arial"/>
                <w:b/>
                <w:szCs w:val="24"/>
              </w:rPr>
              <w:t>Relevant to this post</w:t>
            </w:r>
          </w:p>
        </w:tc>
        <w:tc>
          <w:tcPr>
            <w:tcW w:w="7933" w:type="dxa"/>
            <w:tcBorders>
              <w:bottom w:val="single" w:sz="4" w:space="0" w:color="auto"/>
            </w:tcBorders>
            <w:vAlign w:val="center"/>
          </w:tcPr>
          <w:p w:rsidR="007E01C7" w:rsidRPr="007E01C7" w:rsidRDefault="007E01C7" w:rsidP="007E01C7">
            <w:pPr>
              <w:rPr>
                <w:rFonts w:cs="Arial"/>
                <w:szCs w:val="24"/>
              </w:rPr>
            </w:pPr>
            <w:r w:rsidRPr="007E01C7">
              <w:rPr>
                <w:rFonts w:cs="Arial"/>
                <w:szCs w:val="24"/>
              </w:rPr>
              <w:t xml:space="preserve">This post is funded until July 2021 through the ESF/YEI </w:t>
            </w:r>
            <w:proofErr w:type="spellStart"/>
            <w:r w:rsidRPr="007E01C7">
              <w:rPr>
                <w:rFonts w:cs="Arial"/>
                <w:szCs w:val="24"/>
              </w:rPr>
              <w:t>DurhamWorks</w:t>
            </w:r>
            <w:proofErr w:type="spellEnd"/>
            <w:r w:rsidRPr="007E01C7">
              <w:rPr>
                <w:rFonts w:cs="Arial"/>
                <w:szCs w:val="24"/>
              </w:rPr>
              <w:t xml:space="preserve"> project.</w:t>
            </w:r>
          </w:p>
          <w:p w:rsidR="007E01C7" w:rsidRPr="007E01C7" w:rsidRDefault="007E01C7" w:rsidP="007E01C7">
            <w:pPr>
              <w:rPr>
                <w:rFonts w:cs="Arial"/>
                <w:szCs w:val="24"/>
              </w:rPr>
            </w:pPr>
          </w:p>
          <w:p w:rsidR="00681A84" w:rsidRDefault="007E01C7" w:rsidP="007E01C7">
            <w:pPr>
              <w:rPr>
                <w:rFonts w:cs="Arial"/>
                <w:szCs w:val="24"/>
              </w:rPr>
            </w:pPr>
            <w:r w:rsidRPr="007E01C7">
              <w:rPr>
                <w:rFonts w:cs="Arial"/>
                <w:szCs w:val="24"/>
              </w:rPr>
              <w:t>This post is funded through ESF and the Youth Employment Initiative (YEI) as part of the 2014-2020 European Structural and Investment Funds Growth Programme in England. The YEI/ESF funding will end in July 2021.</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681A84" w:rsidRDefault="00681A84" w:rsidP="00681A84">
      <w:pPr>
        <w:rPr>
          <w:rFonts w:cs="Arial"/>
          <w:b/>
          <w:szCs w:val="24"/>
        </w:rPr>
      </w:pPr>
    </w:p>
    <w:p w:rsidR="007E01C7" w:rsidRPr="007E01C7" w:rsidRDefault="007E01C7" w:rsidP="00681A84">
      <w:pPr>
        <w:rPr>
          <w:rFonts w:cs="Arial"/>
          <w:szCs w:val="24"/>
        </w:rPr>
      </w:pPr>
      <w:r w:rsidRPr="007E01C7">
        <w:rPr>
          <w:rFonts w:cs="Arial"/>
          <w:szCs w:val="24"/>
        </w:rPr>
        <w:t>The role of Progression Worker is to engage with and provide support to young people to enable them to progress into and remain in education, employment or training, as part of their successful transition into adult life. The Progression Worker will work alongside Progression Advisors and in partnership with education and training providers to maximise the potential of young people.</w:t>
      </w:r>
    </w:p>
    <w:p w:rsidR="0063274D" w:rsidRDefault="0063274D">
      <w:pPr>
        <w:rPr>
          <w:rFonts w:cs="Arial"/>
          <w:b/>
          <w:szCs w:val="24"/>
        </w:rPr>
      </w:pPr>
      <w:r>
        <w:rPr>
          <w:rFonts w:cs="Arial"/>
          <w:b/>
          <w:szCs w:val="24"/>
        </w:rPr>
        <w:br w:type="page"/>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7E01C7" w:rsidRDefault="007E01C7" w:rsidP="007E01C7">
      <w:pPr>
        <w:rPr>
          <w:rFonts w:cs="Arial"/>
          <w:szCs w:val="24"/>
        </w:rPr>
      </w:pPr>
      <w:r w:rsidRPr="007E01C7">
        <w:rPr>
          <w:rFonts w:cs="Arial"/>
          <w:szCs w:val="24"/>
        </w:rPr>
        <w:t>Listed below are the responsibilities this role will be primarily responsible for</w:t>
      </w:r>
      <w:r>
        <w:rPr>
          <w:rFonts w:cs="Arial"/>
          <w:szCs w:val="24"/>
        </w:rPr>
        <w:t>:</w:t>
      </w:r>
    </w:p>
    <w:p w:rsidR="007E01C7" w:rsidRPr="007E01C7" w:rsidRDefault="007E01C7" w:rsidP="007E01C7">
      <w:pPr>
        <w:rPr>
          <w:rFonts w:cs="Arial"/>
          <w:szCs w:val="24"/>
        </w:rPr>
      </w:pP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work with young people who are NEET and require additional support e.g. defined vulnerable group.</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utilise creative approaches in order to engage and maintain contact with harder to reach young people.</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develop integrated working to ensure targeted groups of young people who are NEET are identified and supported to achieve improved outcomes and progression.</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 xml:space="preserve">To manage own caseload, using the Local Authority CCIS (Client Caseload Information System) and other case management systems as appropriate. </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accurately maintain and update client records using the Local Authority CCIS, including all interventions, follow-ups and destinations, in order to contribute to accurate Management Information.</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support young people in activities such as job search, CV sessions, job applications and applications to education and training providers.</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 xml:space="preserve">To track young people, in order to identify those who require support, in line with procedures.  </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 xml:space="preserve">To work with other agencies and services in order to provide support to young people. </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provide practical support to young people in order to tackle their barriers to progression.</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challenge the attitudes and aspirations of some young people who are NEET, in order to encourage them to develop new perspectives that will support their progression.</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 xml:space="preserve">To engage with young people (individually and in small groups) within their communities to deliver/support high quality youth work type activities which build resilience and develop confidence and life skills to improve progression into education, employment or training. </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identify and nominate suitable young people for vacancies in conjunction with employers, education and training providers.</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ensure vacancies secured locally are recorded accurately and entered onto the Local Authority CCIS to enable sharing across the Service.</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establish and maintain positive relationships with education and training providers in locality.</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engage young people in effective dialogue in order to review and improve Service delivery.</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ensure effective information sharing in relation to early identification and assessment of need and delivery of support to young people in need of additional support, in order to improve their outcomes.</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work in the interests of young people through challenging stereotypes and promoting equal opportunities.</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ensure effective safeguarding and child protection arrangements, in line with Durham County Council policy and guidelines.</w:t>
      </w:r>
    </w:p>
    <w:p w:rsidR="007E01C7"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To work in line with Durham County Council policies and procedures.</w:t>
      </w:r>
    </w:p>
    <w:p w:rsidR="0063274D" w:rsidRPr="007E01C7" w:rsidRDefault="007E01C7" w:rsidP="007E01C7">
      <w:pPr>
        <w:pStyle w:val="ListParagraph"/>
        <w:numPr>
          <w:ilvl w:val="0"/>
          <w:numId w:val="23"/>
        </w:numPr>
        <w:spacing w:after="120"/>
        <w:ind w:left="425" w:hanging="425"/>
        <w:contextualSpacing w:val="0"/>
        <w:rPr>
          <w:rFonts w:cs="Arial"/>
          <w:szCs w:val="24"/>
        </w:rPr>
      </w:pPr>
      <w:r w:rsidRPr="007E01C7">
        <w:rPr>
          <w:rFonts w:cs="Arial"/>
          <w:szCs w:val="24"/>
        </w:rPr>
        <w:t xml:space="preserve">To meet own professional development needs by attending appropriate training courses and undertaking self-directed study, as identified through support and supervision, annual appraisal etc.  </w:t>
      </w:r>
    </w:p>
    <w:p w:rsidR="00681A84" w:rsidRDefault="00681A84" w:rsidP="007E01C7">
      <w:pPr>
        <w:spacing w:after="120"/>
        <w:contextualSpacing/>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lastRenderedPageBreak/>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rsidR="0063274D" w:rsidRDefault="0063274D" w:rsidP="003F5F22">
      <w:pPr>
        <w:pStyle w:val="ListParagraph"/>
        <w:ind w:left="567" w:hanging="425"/>
        <w:rPr>
          <w:rFonts w:cs="Arial"/>
          <w:szCs w:val="24"/>
        </w:rPr>
      </w:pPr>
    </w:p>
    <w:p w:rsidR="007E01C7" w:rsidRDefault="007E01C7" w:rsidP="003F5F22">
      <w:pPr>
        <w:pStyle w:val="ListParagraph"/>
        <w:ind w:left="567" w:hanging="425"/>
        <w:rPr>
          <w:rFonts w:cs="Arial"/>
          <w:szCs w:val="24"/>
        </w:rPr>
      </w:pPr>
    </w:p>
    <w:p w:rsidR="007E01C7" w:rsidRPr="0063274D" w:rsidRDefault="007E01C7"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lastRenderedPageBreak/>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40EE4">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rsidTr="007E01C7">
        <w:trPr>
          <w:trHeight w:val="1607"/>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 xml:space="preserve">Level 3 qualification in Information, Advice and Guidance or Youth Work </w:t>
            </w:r>
          </w:p>
          <w:p w:rsidR="007E01C7" w:rsidRPr="007E01C7" w:rsidRDefault="007E01C7" w:rsidP="007E01C7">
            <w:pPr>
              <w:pStyle w:val="aTitle"/>
              <w:ind w:left="720"/>
              <w:rPr>
                <w:rFonts w:cs="Arial"/>
                <w:b w:val="0"/>
                <w:noProof/>
                <w:color w:val="auto"/>
                <w:sz w:val="24"/>
                <w:szCs w:val="24"/>
                <w:lang w:eastAsia="en-GB"/>
              </w:rPr>
            </w:pPr>
            <w:r w:rsidRPr="007E01C7">
              <w:rPr>
                <w:rFonts w:cs="Arial"/>
                <w:b w:val="0"/>
                <w:noProof/>
                <w:color w:val="auto"/>
                <w:sz w:val="24"/>
                <w:szCs w:val="24"/>
                <w:lang w:eastAsia="en-GB"/>
              </w:rPr>
              <w:t>Or</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Level 2 qualification in either of the above or a relevant subject with a willingness to work towards a Level 3 qualification in Information, Advice and Guidance”</w:t>
            </w:r>
          </w:p>
          <w:p w:rsidR="00845787" w:rsidRPr="007E01C7" w:rsidRDefault="00845787" w:rsidP="007E01C7">
            <w:pPr>
              <w:pStyle w:val="aTitle"/>
              <w:tabs>
                <w:tab w:val="clear" w:pos="4513"/>
                <w:tab w:val="clear" w:pos="9026"/>
              </w:tabs>
              <w:ind w:left="720"/>
              <w:rPr>
                <w:rFonts w:cs="Arial"/>
                <w:b w:val="0"/>
                <w:noProof/>
                <w:color w:val="auto"/>
                <w:sz w:val="24"/>
                <w:szCs w:val="24"/>
                <w:lang w:eastAsia="en-GB"/>
              </w:rPr>
            </w:pPr>
          </w:p>
        </w:tc>
        <w:tc>
          <w:tcPr>
            <w:tcW w:w="4961" w:type="dxa"/>
          </w:tcPr>
          <w:p w:rsidR="00845787" w:rsidRPr="007E01C7" w:rsidRDefault="007E01C7" w:rsidP="00052DFC">
            <w:pPr>
              <w:pStyle w:val="aTitle"/>
              <w:numPr>
                <w:ilvl w:val="0"/>
                <w:numId w:val="21"/>
              </w:numPr>
              <w:tabs>
                <w:tab w:val="clear" w:pos="4513"/>
              </w:tabs>
              <w:rPr>
                <w:rFonts w:cs="Arial"/>
                <w:b w:val="0"/>
                <w:noProof/>
                <w:color w:val="auto"/>
                <w:sz w:val="24"/>
                <w:szCs w:val="24"/>
                <w:lang w:eastAsia="en-GB"/>
              </w:rPr>
            </w:pPr>
            <w:r w:rsidRPr="007E01C7">
              <w:rPr>
                <w:rFonts w:cs="Arial"/>
                <w:b w:val="0"/>
                <w:noProof/>
                <w:color w:val="auto"/>
                <w:sz w:val="24"/>
                <w:szCs w:val="24"/>
                <w:lang w:eastAsia="en-GB"/>
              </w:rPr>
              <w:t>Counselling qualification.</w:t>
            </w:r>
          </w:p>
        </w:tc>
      </w:tr>
      <w:tr w:rsidR="00040EE4" w:rsidTr="00040EE4">
        <w:trPr>
          <w:trHeight w:val="171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Experience of working with young people who are NEET, their parents/carers and other professionals.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Experience of providing information, advice, guidance and support to young people.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Experience of working in partnership with employers, education and training providers.</w:t>
            </w:r>
          </w:p>
          <w:p w:rsidR="00621974" w:rsidRDefault="007E01C7" w:rsidP="007E01C7">
            <w:pPr>
              <w:pStyle w:val="aTitle"/>
              <w:numPr>
                <w:ilvl w:val="0"/>
                <w:numId w:val="21"/>
              </w:numPr>
              <w:tabs>
                <w:tab w:val="clear" w:pos="4513"/>
                <w:tab w:val="clear" w:pos="9026"/>
              </w:tabs>
              <w:rPr>
                <w:rFonts w:cs="Arial"/>
                <w:b w:val="0"/>
                <w:noProof/>
                <w:color w:val="auto"/>
                <w:sz w:val="24"/>
                <w:szCs w:val="24"/>
                <w:lang w:eastAsia="en-GB"/>
              </w:rPr>
            </w:pPr>
            <w:r w:rsidRPr="007E01C7">
              <w:rPr>
                <w:rFonts w:cs="Arial"/>
                <w:b w:val="0"/>
                <w:noProof/>
                <w:color w:val="auto"/>
                <w:sz w:val="24"/>
                <w:szCs w:val="24"/>
                <w:lang w:eastAsia="en-GB"/>
              </w:rPr>
              <w:t>Experience of delivering planned interventions that lead to improved outcomes for young people.</w:t>
            </w:r>
          </w:p>
          <w:p w:rsidR="007E01C7" w:rsidRPr="007E01C7" w:rsidRDefault="007E01C7" w:rsidP="007E01C7">
            <w:pPr>
              <w:pStyle w:val="aTitle"/>
              <w:tabs>
                <w:tab w:val="clear" w:pos="4513"/>
                <w:tab w:val="clear" w:pos="9026"/>
              </w:tabs>
              <w:ind w:left="720"/>
              <w:rPr>
                <w:rFonts w:cs="Arial"/>
                <w:b w:val="0"/>
                <w:noProof/>
                <w:color w:val="auto"/>
                <w:sz w:val="24"/>
                <w:szCs w:val="24"/>
                <w:lang w:eastAsia="en-GB"/>
              </w:rPr>
            </w:pPr>
          </w:p>
        </w:tc>
        <w:tc>
          <w:tcPr>
            <w:tcW w:w="4961"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Experience of managing a caseload.</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Experience of planning and delivering group work activities to targeted groups of young people.</w:t>
            </w:r>
          </w:p>
          <w:p w:rsidR="00845787" w:rsidRPr="007E01C7" w:rsidRDefault="007E01C7" w:rsidP="007E01C7">
            <w:pPr>
              <w:pStyle w:val="aTitle"/>
              <w:numPr>
                <w:ilvl w:val="0"/>
                <w:numId w:val="21"/>
              </w:numPr>
              <w:tabs>
                <w:tab w:val="clear" w:pos="4513"/>
              </w:tabs>
              <w:rPr>
                <w:rFonts w:cs="Arial"/>
                <w:b w:val="0"/>
                <w:noProof/>
                <w:color w:val="auto"/>
                <w:sz w:val="24"/>
                <w:szCs w:val="24"/>
                <w:lang w:eastAsia="en-GB"/>
              </w:rPr>
            </w:pPr>
            <w:r w:rsidRPr="007E01C7">
              <w:rPr>
                <w:rFonts w:cs="Arial"/>
                <w:b w:val="0"/>
                <w:noProof/>
                <w:color w:val="auto"/>
                <w:sz w:val="24"/>
                <w:szCs w:val="24"/>
                <w:lang w:eastAsia="en-GB"/>
              </w:rPr>
              <w:t>Experience of using client databases to record interventions.</w:t>
            </w:r>
          </w:p>
        </w:tc>
      </w:tr>
      <w:tr w:rsidR="00040EE4" w:rsidTr="00040EE4">
        <w:trPr>
          <w:trHeight w:val="1962"/>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Understanding of issues/barriers relating to young people who are NEET and their progression into education, employment or training.</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Knowledge of post-16 learning and career options.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 person-centred, empathetic and non-judgemental approach to working with young people.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Ability to communicate effectively with a range of individuals, including parents/carers, employers and colleagues in education, care and health as appropriate.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 xml:space="preserve">Action planning and goal setting skills. </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Ability to use ICT including Outlook and Microsoft Office.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Good communication and interpersonal skills.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 xml:space="preserve">Good written skills and an ability to produce clear and understandable action plans and reports. </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Good organisational skills.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Ability to prioritise and manage own workload.</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Effective negotiation skills.</w:t>
            </w:r>
          </w:p>
          <w:p w:rsidR="00621974" w:rsidRPr="007E01C7" w:rsidRDefault="00621974" w:rsidP="007E01C7">
            <w:pPr>
              <w:pStyle w:val="aTitle"/>
              <w:ind w:left="720"/>
              <w:rPr>
                <w:rFonts w:cs="Arial"/>
                <w:b w:val="0"/>
                <w:noProof/>
                <w:color w:val="auto"/>
                <w:sz w:val="24"/>
                <w:szCs w:val="24"/>
                <w:lang w:eastAsia="en-GB"/>
              </w:rPr>
            </w:pPr>
          </w:p>
        </w:tc>
        <w:tc>
          <w:tcPr>
            <w:tcW w:w="4961"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Knowledge of current local labour market and employer needs.</w:t>
            </w:r>
          </w:p>
          <w:p w:rsidR="00845787" w:rsidRPr="007E01C7" w:rsidRDefault="007E01C7" w:rsidP="007E01C7">
            <w:pPr>
              <w:pStyle w:val="aTitle"/>
              <w:numPr>
                <w:ilvl w:val="0"/>
                <w:numId w:val="21"/>
              </w:numPr>
              <w:tabs>
                <w:tab w:val="clear" w:pos="4513"/>
              </w:tabs>
              <w:rPr>
                <w:rFonts w:cs="Arial"/>
                <w:b w:val="0"/>
                <w:noProof/>
                <w:color w:val="auto"/>
                <w:sz w:val="24"/>
                <w:szCs w:val="24"/>
                <w:lang w:eastAsia="en-GB"/>
              </w:rPr>
            </w:pPr>
            <w:r w:rsidRPr="007E01C7">
              <w:rPr>
                <w:rFonts w:cs="Arial"/>
                <w:b w:val="0"/>
                <w:noProof/>
                <w:color w:val="auto"/>
                <w:sz w:val="24"/>
                <w:szCs w:val="24"/>
                <w:lang w:eastAsia="en-GB"/>
              </w:rPr>
              <w:t>Knowledge of agencies and services that are available to support young people who are NEET and require additional support.</w:t>
            </w:r>
          </w:p>
        </w:tc>
      </w:tr>
      <w:tr w:rsidR="00040EE4" w:rsidTr="00040EE4">
        <w:trPr>
          <w:trHeight w:val="2794"/>
        </w:trPr>
        <w:tc>
          <w:tcPr>
            <w:tcW w:w="1671" w:type="dxa"/>
            <w:shd w:val="clear" w:color="auto" w:fill="F2F2F2" w:themeFill="background1" w:themeFillShade="F2"/>
          </w:tcPr>
          <w:p w:rsidR="00845787" w:rsidRPr="00845787" w:rsidRDefault="00845787" w:rsidP="00D70625">
            <w:pPr>
              <w:pStyle w:val="aTitle"/>
              <w:tabs>
                <w:tab w:val="clear" w:pos="4513"/>
              </w:tabs>
              <w:rPr>
                <w:rFonts w:cs="Arial"/>
                <w:noProof/>
                <w:color w:val="auto"/>
                <w:sz w:val="22"/>
                <w:lang w:eastAsia="en-GB"/>
              </w:rPr>
            </w:pPr>
          </w:p>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Open, friendly and supportive with a genuine interest in supporting young people to progress.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Hold high aspirations for young people.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Personal resilience.</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Ability to motivate and support young people, colleagues and partners.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Commitment to high quality service delivery.</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Adaptability, flexibility and capacity to work effectively under pressure and to tight deadlines.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 xml:space="preserve">Ability to work under direction and to use own initiative when appropriate. </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Ability to work as part of a team making active contributions to support its success.</w:t>
            </w:r>
          </w:p>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Willingness to undertake ongoing professional development.</w:t>
            </w:r>
          </w:p>
          <w:p w:rsidR="00040EE4" w:rsidRDefault="007E01C7" w:rsidP="007E01C7">
            <w:pPr>
              <w:pStyle w:val="aTitle"/>
              <w:numPr>
                <w:ilvl w:val="0"/>
                <w:numId w:val="21"/>
              </w:numPr>
              <w:tabs>
                <w:tab w:val="clear" w:pos="4513"/>
                <w:tab w:val="clear" w:pos="9026"/>
              </w:tabs>
              <w:rPr>
                <w:rFonts w:cs="Arial"/>
                <w:b w:val="0"/>
                <w:noProof/>
                <w:color w:val="auto"/>
                <w:sz w:val="24"/>
                <w:szCs w:val="24"/>
                <w:lang w:eastAsia="en-GB"/>
              </w:rPr>
            </w:pPr>
            <w:r w:rsidRPr="007E01C7">
              <w:rPr>
                <w:rFonts w:cs="Arial"/>
                <w:b w:val="0"/>
                <w:noProof/>
                <w:color w:val="auto"/>
                <w:sz w:val="24"/>
                <w:szCs w:val="24"/>
                <w:lang w:eastAsia="en-GB"/>
              </w:rPr>
              <w:t>Commitment to Equal Opportunities.</w:t>
            </w:r>
          </w:p>
          <w:p w:rsidR="007E01C7" w:rsidRPr="007E01C7" w:rsidRDefault="007E01C7" w:rsidP="007E01C7">
            <w:pPr>
              <w:pStyle w:val="aTitle"/>
              <w:tabs>
                <w:tab w:val="clear" w:pos="4513"/>
                <w:tab w:val="clear" w:pos="9026"/>
              </w:tabs>
              <w:ind w:left="720"/>
              <w:rPr>
                <w:rFonts w:cs="Arial"/>
                <w:b w:val="0"/>
                <w:noProof/>
                <w:color w:val="auto"/>
                <w:sz w:val="24"/>
                <w:szCs w:val="24"/>
                <w:lang w:eastAsia="en-GB"/>
              </w:rPr>
            </w:pPr>
          </w:p>
        </w:tc>
        <w:tc>
          <w:tcPr>
            <w:tcW w:w="4961" w:type="dxa"/>
          </w:tcPr>
          <w:p w:rsidR="00845787" w:rsidRPr="007E01C7" w:rsidRDefault="00845787" w:rsidP="007E01C7">
            <w:pPr>
              <w:pStyle w:val="aTitle"/>
              <w:tabs>
                <w:tab w:val="clear" w:pos="4513"/>
                <w:tab w:val="clear" w:pos="9026"/>
              </w:tabs>
              <w:ind w:left="720"/>
              <w:rPr>
                <w:rFonts w:cs="Arial"/>
                <w:b w:val="0"/>
                <w:noProof/>
                <w:color w:val="auto"/>
                <w:sz w:val="24"/>
                <w:szCs w:val="24"/>
                <w:lang w:eastAsia="en-GB"/>
              </w:rPr>
            </w:pPr>
          </w:p>
        </w:tc>
      </w:tr>
      <w:tr w:rsidR="007E01C7" w:rsidTr="007E01C7">
        <w:trPr>
          <w:trHeight w:val="1256"/>
        </w:trPr>
        <w:tc>
          <w:tcPr>
            <w:tcW w:w="1671" w:type="dxa"/>
            <w:shd w:val="clear" w:color="auto" w:fill="F2F2F2" w:themeFill="background1" w:themeFillShade="F2"/>
          </w:tcPr>
          <w:p w:rsidR="007E01C7" w:rsidRDefault="007E01C7" w:rsidP="00D70625">
            <w:pPr>
              <w:pStyle w:val="aTitle"/>
              <w:tabs>
                <w:tab w:val="clear" w:pos="4513"/>
              </w:tabs>
              <w:rPr>
                <w:rFonts w:cs="Arial"/>
                <w:noProof/>
                <w:color w:val="auto"/>
                <w:sz w:val="22"/>
                <w:lang w:eastAsia="en-GB"/>
              </w:rPr>
            </w:pPr>
          </w:p>
          <w:p w:rsidR="007E01C7" w:rsidRPr="00845787" w:rsidRDefault="007E01C7" w:rsidP="00D70625">
            <w:pPr>
              <w:pStyle w:val="aTitle"/>
              <w:tabs>
                <w:tab w:val="clear" w:pos="4513"/>
              </w:tabs>
              <w:rPr>
                <w:rFonts w:cs="Arial"/>
                <w:noProof/>
                <w:color w:val="auto"/>
                <w:sz w:val="22"/>
                <w:lang w:eastAsia="en-GB"/>
              </w:rPr>
            </w:pPr>
            <w:r>
              <w:rPr>
                <w:rFonts w:cs="Arial"/>
                <w:noProof/>
                <w:color w:val="auto"/>
                <w:sz w:val="22"/>
                <w:lang w:eastAsia="en-GB"/>
              </w:rPr>
              <w:t>Other Requirements</w:t>
            </w:r>
          </w:p>
        </w:tc>
        <w:tc>
          <w:tcPr>
            <w:tcW w:w="9102" w:type="dxa"/>
          </w:tcPr>
          <w:p w:rsidR="007E01C7" w:rsidRP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Access to a car or means of mobility support (if driving, must hold a full current UK driving licence and appropriate insurance).</w:t>
            </w:r>
          </w:p>
          <w:p w:rsidR="007E01C7" w:rsidRDefault="007E01C7" w:rsidP="007E01C7">
            <w:pPr>
              <w:pStyle w:val="aTitle"/>
              <w:numPr>
                <w:ilvl w:val="0"/>
                <w:numId w:val="21"/>
              </w:numPr>
              <w:rPr>
                <w:rFonts w:cs="Arial"/>
                <w:b w:val="0"/>
                <w:noProof/>
                <w:color w:val="auto"/>
                <w:sz w:val="24"/>
                <w:szCs w:val="24"/>
                <w:lang w:eastAsia="en-GB"/>
              </w:rPr>
            </w:pPr>
            <w:r w:rsidRPr="007E01C7">
              <w:rPr>
                <w:rFonts w:cs="Arial"/>
                <w:b w:val="0"/>
                <w:noProof/>
                <w:color w:val="auto"/>
                <w:sz w:val="24"/>
                <w:szCs w:val="24"/>
                <w:lang w:eastAsia="en-GB"/>
              </w:rPr>
              <w:t>Willingness to occasionally work unsocial hours as required, including evenings and weekends</w:t>
            </w:r>
          </w:p>
          <w:p w:rsidR="007E01C7" w:rsidRPr="007E01C7" w:rsidRDefault="007E01C7" w:rsidP="007E01C7">
            <w:pPr>
              <w:pStyle w:val="aTitle"/>
              <w:ind w:left="720"/>
              <w:rPr>
                <w:rFonts w:cs="Arial"/>
                <w:b w:val="0"/>
                <w:noProof/>
                <w:color w:val="auto"/>
                <w:sz w:val="24"/>
                <w:szCs w:val="24"/>
                <w:lang w:eastAsia="en-GB"/>
              </w:rPr>
            </w:pPr>
          </w:p>
        </w:tc>
        <w:tc>
          <w:tcPr>
            <w:tcW w:w="4961" w:type="dxa"/>
          </w:tcPr>
          <w:p w:rsidR="007E01C7" w:rsidRPr="007E01C7" w:rsidRDefault="007E01C7" w:rsidP="007E01C7">
            <w:pPr>
              <w:pStyle w:val="aTitle"/>
              <w:tabs>
                <w:tab w:val="clear" w:pos="4513"/>
                <w:tab w:val="clear" w:pos="9026"/>
              </w:tabs>
              <w:ind w:left="720"/>
              <w:rPr>
                <w:rFonts w:cs="Arial"/>
                <w:b w:val="0"/>
                <w:noProof/>
                <w:color w:val="auto"/>
                <w:sz w:val="24"/>
                <w:szCs w:val="24"/>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3"/>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AED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61AA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A9100B"/>
    <w:multiLevelType w:val="hybridMultilevel"/>
    <w:tmpl w:val="648E1A3A"/>
    <w:lvl w:ilvl="0" w:tplc="43F4779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C16A66"/>
    <w:multiLevelType w:val="hybridMultilevel"/>
    <w:tmpl w:val="54F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11"/>
  </w:num>
  <w:num w:numId="5">
    <w:abstractNumId w:val="1"/>
  </w:num>
  <w:num w:numId="6">
    <w:abstractNumId w:val="18"/>
  </w:num>
  <w:num w:numId="7">
    <w:abstractNumId w:val="22"/>
  </w:num>
  <w:num w:numId="8">
    <w:abstractNumId w:val="5"/>
  </w:num>
  <w:num w:numId="9">
    <w:abstractNumId w:val="21"/>
  </w:num>
  <w:num w:numId="10">
    <w:abstractNumId w:val="14"/>
  </w:num>
  <w:num w:numId="11">
    <w:abstractNumId w:val="4"/>
  </w:num>
  <w:num w:numId="12">
    <w:abstractNumId w:val="20"/>
  </w:num>
  <w:num w:numId="13">
    <w:abstractNumId w:val="19"/>
  </w:num>
  <w:num w:numId="14">
    <w:abstractNumId w:val="16"/>
  </w:num>
  <w:num w:numId="15">
    <w:abstractNumId w:val="10"/>
  </w:num>
  <w:num w:numId="16">
    <w:abstractNumId w:val="9"/>
  </w:num>
  <w:num w:numId="17">
    <w:abstractNumId w:val="2"/>
  </w:num>
  <w:num w:numId="18">
    <w:abstractNumId w:val="0"/>
  </w:num>
  <w:num w:numId="19">
    <w:abstractNumId w:val="7"/>
  </w:num>
  <w:num w:numId="20">
    <w:abstractNumId w:val="13"/>
  </w:num>
  <w:num w:numId="21">
    <w:abstractNumId w:val="8"/>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2DFC"/>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18E5"/>
    <w:rsid w:val="0077606C"/>
    <w:rsid w:val="00785997"/>
    <w:rsid w:val="00790298"/>
    <w:rsid w:val="007C7799"/>
    <w:rsid w:val="007D0480"/>
    <w:rsid w:val="007D2D88"/>
    <w:rsid w:val="007E01C7"/>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3629"/>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9C6B7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2019805-0D6F-4CE0-BF10-BA149787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10244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3</cp:revision>
  <cp:lastPrinted>2018-08-31T10:37:00Z</cp:lastPrinted>
  <dcterms:created xsi:type="dcterms:W3CDTF">2019-11-26T11:20:00Z</dcterms:created>
  <dcterms:modified xsi:type="dcterms:W3CDTF">2019-11-26T11:20:00Z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