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640715</wp:posOffset>
            </wp:positionH>
            <wp:positionV relativeFrom="paragraph">
              <wp:posOffset>12065</wp:posOffset>
            </wp:positionV>
            <wp:extent cx="5171440" cy="121793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5171440" cy="121793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Department Leader Culture and Wellbeing</w:t>
            </w:r>
          </w:p>
        </w:tc>
      </w:tr>
      <w:tr>
        <w:trPr>
          <w:trHeight w:val="300" w:hRule="atLeast"/>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00" w:hRule="atLeast"/>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trHeight w:val="80" w:hRule="atLeast"/>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r>
      <w:tr>
        <w:trPr>
          <w:trHeight w:val="80"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8">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0" w:hRule="atLeast"/>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6">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E">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1">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2">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3">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169545" cy="156845"/>
                      <wp:effectExtent b="0" l="0" r="0" t="0"/>
                      <wp:wrapNone/>
                      <wp:docPr id="1"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169545" cy="15684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9545" cy="156845"/>
                              </a:xfrm>
                              <a:prstGeom prst="rect"/>
                              <a:ln/>
                            </pic:spPr>
                          </pic:pic>
                        </a:graphicData>
                      </a:graphic>
                    </wp:anchor>
                  </w:drawing>
                </mc:Fallback>
              </mc:AlternateContent>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A">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B">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C">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A">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AF">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Mrs C Stobbart</w:t>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 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vertAlign w:val="baseline"/>
            <w:rtl w:val="0"/>
          </w:rPr>
          <w:t xml:space="preserve">stobbartc@kepier.com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trHeight w:val="46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trHeight w:val="44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trHeight w:val="500"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trHeight w:val="36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stobbartc@kepier.com" TargetMode="External"/><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aMdjmJw5RxYq1GMmmz4C+TJA==">AMUW2mW4I7xDtp1Tcc1VlfqQoY3hHQA+VSqjt6Xdp9y7dtqBtYsO7Jr5MWddWg13lBzMe/O9HJLA4AeT+g+Xk/z+8yFsWcIXTF0HtPTXuHouKqhQiaOtW0Dg99mDviDeKqAV/s98wnWZ5m3hw5zM6PtgEkNUPAUX33fC+ZvGSjQPtDKBfmDYc3FYhqFDr0kLBXdW4vEOVrfeEtsiS8g7kxoeesGCLFiRKg==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2019-12-06T13:06:00Z</dcterms:created>
  <dc:creator>AN</dc:creator>
</cp:coreProperties>
</file>

<file path=docProps/custom.xml><?xml version="1.0" encoding="utf-8"?>
<Properties xmlns="http://schemas.openxmlformats.org/officeDocument/2006/custom-properties" xmlns:vt="http://schemas.openxmlformats.org/officeDocument/2006/docPropsVTypes"/>
</file>