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533A" w14:textId="77777777" w:rsidR="00934221" w:rsidRPr="00A357F6" w:rsidRDefault="00934221">
      <w:pPr>
        <w:rPr>
          <w:rFonts w:ascii="Arial" w:hAnsi="Arial" w:cs="Arial"/>
          <w:sz w:val="24"/>
          <w:szCs w:val="24"/>
        </w:rPr>
      </w:pPr>
      <w:r w:rsidRPr="00A357F6">
        <w:rPr>
          <w:rFonts w:ascii="Arial" w:hAnsi="Arial" w:cs="Arial"/>
          <w:sz w:val="24"/>
          <w:szCs w:val="24"/>
        </w:rPr>
        <w:t>INDEPENDENT SCRUTINEER - SUNDERLAND</w:t>
      </w:r>
    </w:p>
    <w:p w14:paraId="17E87A9D" w14:textId="77777777" w:rsidR="00172E20" w:rsidRPr="00A357F6" w:rsidRDefault="008F6BCD">
      <w:pPr>
        <w:rPr>
          <w:rFonts w:ascii="Arial" w:hAnsi="Arial" w:cs="Arial"/>
          <w:sz w:val="20"/>
          <w:szCs w:val="20"/>
        </w:rPr>
      </w:pPr>
      <w:r w:rsidRPr="00A357F6">
        <w:rPr>
          <w:rFonts w:ascii="Arial" w:hAnsi="Arial" w:cs="Arial"/>
          <w:sz w:val="20"/>
          <w:szCs w:val="20"/>
        </w:rPr>
        <w:t xml:space="preserve">ROLE DESCRIPTION </w:t>
      </w:r>
    </w:p>
    <w:p w14:paraId="4CB4A8C2" w14:textId="244D9173" w:rsidR="008F6BCD" w:rsidRPr="00A357F6" w:rsidRDefault="008F6BCD">
      <w:pPr>
        <w:rPr>
          <w:rFonts w:ascii="Arial" w:hAnsi="Arial" w:cs="Arial"/>
          <w:sz w:val="20"/>
          <w:szCs w:val="20"/>
        </w:rPr>
      </w:pPr>
      <w:r w:rsidRPr="637A6DE6">
        <w:rPr>
          <w:rFonts w:ascii="Arial" w:hAnsi="Arial" w:cs="Arial"/>
          <w:sz w:val="20"/>
          <w:szCs w:val="20"/>
        </w:rPr>
        <w:t>Role Title:</w:t>
      </w:r>
      <w:r w:rsidR="6A7CB67E" w:rsidRPr="637A6DE6">
        <w:rPr>
          <w:rFonts w:ascii="Arial" w:hAnsi="Arial" w:cs="Arial"/>
          <w:sz w:val="20"/>
          <w:szCs w:val="20"/>
        </w:rPr>
        <w:t xml:space="preserve"> Independent Scrutineer, Safeguarding Children and Families </w:t>
      </w:r>
    </w:p>
    <w:p w14:paraId="49BAFE81" w14:textId="49609977" w:rsidR="008F6BCD" w:rsidRPr="00A357F6" w:rsidRDefault="008F6BCD">
      <w:pPr>
        <w:rPr>
          <w:rFonts w:ascii="Arial" w:hAnsi="Arial" w:cs="Arial"/>
          <w:sz w:val="20"/>
          <w:szCs w:val="20"/>
        </w:rPr>
      </w:pPr>
      <w:r w:rsidRPr="637A6DE6">
        <w:rPr>
          <w:rFonts w:ascii="Arial" w:hAnsi="Arial" w:cs="Arial"/>
          <w:sz w:val="20"/>
          <w:szCs w:val="20"/>
        </w:rPr>
        <w:t>Renumeration:</w:t>
      </w:r>
      <w:r w:rsidR="046E5E8E" w:rsidRPr="637A6DE6">
        <w:rPr>
          <w:rFonts w:ascii="Arial" w:hAnsi="Arial" w:cs="Arial"/>
          <w:sz w:val="20"/>
          <w:szCs w:val="20"/>
        </w:rPr>
        <w:t xml:space="preserve"> £15,000 per annum for up to 30 days, out of borough expenses paid in addition (non-pensionable)</w:t>
      </w:r>
      <w:bookmarkStart w:id="0" w:name="_GoBack"/>
      <w:bookmarkEnd w:id="0"/>
    </w:p>
    <w:p w14:paraId="25C28783" w14:textId="77777777" w:rsidR="008F6BCD" w:rsidRPr="00A357F6" w:rsidRDefault="008F6BCD">
      <w:pPr>
        <w:rPr>
          <w:rFonts w:ascii="Arial" w:hAnsi="Arial" w:cs="Arial"/>
          <w:sz w:val="20"/>
          <w:szCs w:val="20"/>
        </w:rPr>
      </w:pPr>
      <w:r w:rsidRPr="00A357F6">
        <w:rPr>
          <w:rFonts w:ascii="Arial" w:hAnsi="Arial" w:cs="Arial"/>
          <w:sz w:val="20"/>
          <w:szCs w:val="20"/>
        </w:rPr>
        <w:t>Appointment Terms:</w:t>
      </w:r>
    </w:p>
    <w:p w14:paraId="32D56E9A" w14:textId="77777777" w:rsidR="008F6BCD" w:rsidRPr="00A357F6" w:rsidRDefault="008F6BCD" w:rsidP="00ED4103">
      <w:pPr>
        <w:rPr>
          <w:rFonts w:ascii="Arial" w:hAnsi="Arial" w:cs="Arial"/>
          <w:sz w:val="20"/>
          <w:szCs w:val="20"/>
        </w:rPr>
      </w:pPr>
      <w:r w:rsidRPr="00A357F6">
        <w:rPr>
          <w:rFonts w:ascii="Arial" w:hAnsi="Arial" w:cs="Arial"/>
          <w:sz w:val="20"/>
          <w:szCs w:val="20"/>
        </w:rPr>
        <w:t xml:space="preserve">Responsible to: The role is directly appointed by Sunderland City Council but accountable to all three statutory partners which are Sunderland City Council, Northumbria Police and Sunderland Clinical Commissioning Group. The partners will agree the oversight and support arrangements for the role whilst recognising the Council hold the employer accountability. </w:t>
      </w:r>
    </w:p>
    <w:p w14:paraId="4100E4C2" w14:textId="77777777" w:rsidR="008F6BCD" w:rsidRPr="00A357F6" w:rsidRDefault="008F6BCD">
      <w:pPr>
        <w:rPr>
          <w:rFonts w:ascii="Arial" w:hAnsi="Arial" w:cs="Arial"/>
          <w:sz w:val="20"/>
          <w:szCs w:val="20"/>
        </w:rPr>
      </w:pPr>
      <w:r w:rsidRPr="00A357F6">
        <w:rPr>
          <w:rFonts w:ascii="Arial" w:hAnsi="Arial" w:cs="Arial"/>
          <w:sz w:val="20"/>
          <w:szCs w:val="20"/>
        </w:rPr>
        <w:t>CONTEXT</w:t>
      </w:r>
      <w:r w:rsidR="00896C9F" w:rsidRPr="00A357F6">
        <w:rPr>
          <w:rFonts w:ascii="Arial" w:hAnsi="Arial" w:cs="Arial"/>
          <w:sz w:val="20"/>
          <w:szCs w:val="20"/>
        </w:rPr>
        <w:t>,</w:t>
      </w:r>
      <w:r w:rsidRPr="00A357F6">
        <w:rPr>
          <w:rFonts w:ascii="Arial" w:hAnsi="Arial" w:cs="Arial"/>
          <w:sz w:val="20"/>
          <w:szCs w:val="20"/>
        </w:rPr>
        <w:t xml:space="preserve"> AMBITION</w:t>
      </w:r>
      <w:r w:rsidR="00896C9F" w:rsidRPr="00A357F6">
        <w:rPr>
          <w:rFonts w:ascii="Arial" w:hAnsi="Arial" w:cs="Arial"/>
          <w:sz w:val="20"/>
          <w:szCs w:val="20"/>
        </w:rPr>
        <w:t xml:space="preserve"> AND PURPOSE</w:t>
      </w:r>
    </w:p>
    <w:p w14:paraId="5A54C602" w14:textId="77777777" w:rsidR="00896C9F" w:rsidRPr="00A357F6" w:rsidRDefault="00934221">
      <w:pPr>
        <w:rPr>
          <w:rFonts w:ascii="Arial" w:hAnsi="Arial" w:cs="Arial"/>
          <w:sz w:val="20"/>
          <w:szCs w:val="20"/>
        </w:rPr>
      </w:pPr>
      <w:r w:rsidRPr="00A357F6">
        <w:rPr>
          <w:rFonts w:ascii="Arial" w:hAnsi="Arial" w:cs="Arial"/>
          <w:sz w:val="20"/>
          <w:szCs w:val="20"/>
        </w:rPr>
        <w:t>The Children Act 2004 (as amended by Children and Social Work Act 2017) requires the three safeguarding partners to have a shared and equal duty to work together to safeguard and promote the welfare of all children in a local are</w:t>
      </w:r>
      <w:r w:rsidR="00896C9F" w:rsidRPr="00A357F6">
        <w:rPr>
          <w:rFonts w:ascii="Arial" w:hAnsi="Arial" w:cs="Arial"/>
          <w:sz w:val="20"/>
          <w:szCs w:val="20"/>
        </w:rPr>
        <w:t>a</w:t>
      </w:r>
      <w:r w:rsidRPr="00A357F6">
        <w:rPr>
          <w:rFonts w:ascii="Arial" w:hAnsi="Arial" w:cs="Arial"/>
          <w:sz w:val="20"/>
          <w:szCs w:val="20"/>
        </w:rPr>
        <w:t>. Working Together to Safeguard Children 2018 has set out the arrangements for an independent scrutiny function, which should provide the critical challenge and appraisal of the multi-agency safeguarding arrangements. The role of the Scrutineer will be independent of the Safeguarding Partnership</w:t>
      </w:r>
      <w:r w:rsidR="00896C9F" w:rsidRPr="00A357F6">
        <w:rPr>
          <w:rFonts w:ascii="Arial" w:hAnsi="Arial" w:cs="Arial"/>
          <w:sz w:val="20"/>
          <w:szCs w:val="20"/>
        </w:rPr>
        <w:t xml:space="preserve"> and is envisaged as having an important part to play in facilitating deep analysis of safeguarding issues, bring practitioners from different agencies together, sometimes with families and stakeholders, to explore and build better practice. </w:t>
      </w:r>
    </w:p>
    <w:p w14:paraId="013D2B46" w14:textId="77777777" w:rsidR="00896C9F" w:rsidRPr="00A357F6" w:rsidRDefault="00896C9F">
      <w:pPr>
        <w:rPr>
          <w:rFonts w:ascii="Arial" w:hAnsi="Arial" w:cs="Arial"/>
          <w:sz w:val="20"/>
          <w:szCs w:val="20"/>
        </w:rPr>
      </w:pPr>
      <w:r w:rsidRPr="00A357F6">
        <w:rPr>
          <w:rFonts w:ascii="Arial" w:hAnsi="Arial" w:cs="Arial"/>
          <w:sz w:val="20"/>
          <w:szCs w:val="20"/>
        </w:rPr>
        <w:t xml:space="preserve">The Independent Scrutineer is accountable to the three strategic leads nominated by the statutory partners, and will seek to challenge, enquire and investigate the quality and effectiveness of safeguarding responses. This includes the arrangements to identify and review serious safeguarding concerns and incidents, being mindful to hold partners to the statutory guidance </w:t>
      </w:r>
      <w:proofErr w:type="gramStart"/>
      <w:r w:rsidRPr="00A357F6">
        <w:rPr>
          <w:rFonts w:ascii="Arial" w:hAnsi="Arial" w:cs="Arial"/>
          <w:sz w:val="20"/>
          <w:szCs w:val="20"/>
        </w:rPr>
        <w:t>at all times</w:t>
      </w:r>
      <w:proofErr w:type="gramEnd"/>
      <w:r w:rsidRPr="00A357F6">
        <w:rPr>
          <w:rFonts w:ascii="Arial" w:hAnsi="Arial" w:cs="Arial"/>
          <w:sz w:val="20"/>
          <w:szCs w:val="20"/>
        </w:rPr>
        <w:t xml:space="preserve">. </w:t>
      </w:r>
    </w:p>
    <w:p w14:paraId="22B1C92A" w14:textId="77777777" w:rsidR="00896C9F" w:rsidRPr="00A357F6" w:rsidRDefault="00896C9F">
      <w:pPr>
        <w:rPr>
          <w:rFonts w:ascii="Arial" w:hAnsi="Arial" w:cs="Arial"/>
          <w:sz w:val="20"/>
          <w:szCs w:val="20"/>
        </w:rPr>
      </w:pPr>
      <w:r w:rsidRPr="00A357F6">
        <w:rPr>
          <w:rFonts w:ascii="Arial" w:hAnsi="Arial" w:cs="Arial"/>
          <w:sz w:val="20"/>
          <w:szCs w:val="20"/>
        </w:rPr>
        <w:t xml:space="preserve">The Independent Scrutineer will seek to find the voice of children and families, and importantly practitioners, in order to provide a view of the effectiveness of arrangements </w:t>
      </w:r>
      <w:proofErr w:type="gramStart"/>
      <w:r w:rsidRPr="00A357F6">
        <w:rPr>
          <w:rFonts w:ascii="Arial" w:hAnsi="Arial" w:cs="Arial"/>
          <w:sz w:val="20"/>
          <w:szCs w:val="20"/>
        </w:rPr>
        <w:t>and also</w:t>
      </w:r>
      <w:proofErr w:type="gramEnd"/>
      <w:r w:rsidRPr="00A357F6">
        <w:rPr>
          <w:rFonts w:ascii="Arial" w:hAnsi="Arial" w:cs="Arial"/>
          <w:sz w:val="20"/>
          <w:szCs w:val="20"/>
        </w:rPr>
        <w:t xml:space="preserve"> on the strength and quality of leadership across services. </w:t>
      </w:r>
    </w:p>
    <w:p w14:paraId="197F1499" w14:textId="77777777" w:rsidR="00934221" w:rsidRPr="00A357F6" w:rsidRDefault="00934221">
      <w:pPr>
        <w:rPr>
          <w:rFonts w:ascii="Arial" w:hAnsi="Arial" w:cs="Arial"/>
          <w:sz w:val="20"/>
          <w:szCs w:val="20"/>
        </w:rPr>
      </w:pPr>
      <w:r w:rsidRPr="637A6DE6">
        <w:rPr>
          <w:rFonts w:ascii="Arial" w:hAnsi="Arial" w:cs="Arial"/>
          <w:sz w:val="20"/>
          <w:szCs w:val="20"/>
        </w:rPr>
        <w:t>The</w:t>
      </w:r>
      <w:r w:rsidR="00896C9F" w:rsidRPr="637A6DE6">
        <w:rPr>
          <w:rFonts w:ascii="Arial" w:hAnsi="Arial" w:cs="Arial"/>
          <w:sz w:val="20"/>
          <w:szCs w:val="20"/>
        </w:rPr>
        <w:t xml:space="preserve">re is a clear </w:t>
      </w:r>
      <w:r w:rsidRPr="637A6DE6">
        <w:rPr>
          <w:rFonts w:ascii="Arial" w:hAnsi="Arial" w:cs="Arial"/>
          <w:sz w:val="20"/>
          <w:szCs w:val="20"/>
        </w:rPr>
        <w:t xml:space="preserve">ambition in Sunderland </w:t>
      </w:r>
      <w:r w:rsidR="00896C9F" w:rsidRPr="637A6DE6">
        <w:rPr>
          <w:rFonts w:ascii="Arial" w:hAnsi="Arial" w:cs="Arial"/>
          <w:sz w:val="20"/>
          <w:szCs w:val="20"/>
        </w:rPr>
        <w:t xml:space="preserve">to </w:t>
      </w:r>
      <w:r w:rsidRPr="637A6DE6">
        <w:rPr>
          <w:rFonts w:ascii="Arial" w:hAnsi="Arial" w:cs="Arial"/>
          <w:sz w:val="20"/>
          <w:szCs w:val="20"/>
        </w:rPr>
        <w:t xml:space="preserve">move towards a more integrated partnership between the </w:t>
      </w:r>
      <w:r w:rsidR="00896C9F" w:rsidRPr="637A6DE6">
        <w:rPr>
          <w:rFonts w:ascii="Arial" w:hAnsi="Arial" w:cs="Arial"/>
          <w:sz w:val="20"/>
          <w:szCs w:val="20"/>
        </w:rPr>
        <w:t>C</w:t>
      </w:r>
      <w:r w:rsidRPr="637A6DE6">
        <w:rPr>
          <w:rFonts w:ascii="Arial" w:hAnsi="Arial" w:cs="Arial"/>
          <w:sz w:val="20"/>
          <w:szCs w:val="20"/>
        </w:rPr>
        <w:t xml:space="preserve">hildren and </w:t>
      </w:r>
      <w:r w:rsidR="00896C9F" w:rsidRPr="637A6DE6">
        <w:rPr>
          <w:rFonts w:ascii="Arial" w:hAnsi="Arial" w:cs="Arial"/>
          <w:sz w:val="20"/>
          <w:szCs w:val="20"/>
        </w:rPr>
        <w:t>A</w:t>
      </w:r>
      <w:r w:rsidRPr="637A6DE6">
        <w:rPr>
          <w:rFonts w:ascii="Arial" w:hAnsi="Arial" w:cs="Arial"/>
          <w:sz w:val="20"/>
          <w:szCs w:val="20"/>
        </w:rPr>
        <w:t>dult safeguarding partnership</w:t>
      </w:r>
      <w:r w:rsidR="00896C9F" w:rsidRPr="637A6DE6">
        <w:rPr>
          <w:rFonts w:ascii="Arial" w:hAnsi="Arial" w:cs="Arial"/>
          <w:sz w:val="20"/>
          <w:szCs w:val="20"/>
        </w:rPr>
        <w:t xml:space="preserve"> as the benefits of an aligned agenda are fully recognised. There is no blueprint for that integration and the Independent Scrutineer will play a very important part in exploring potential models, reviewing existing governance and ways of working at a strategic level and bring partners together to shape the future model. </w:t>
      </w:r>
    </w:p>
    <w:p w14:paraId="214FD446" w14:textId="2D629C95" w:rsidR="008F6BCD" w:rsidRPr="00A357F6" w:rsidRDefault="7F666220" w:rsidP="637A6DE6">
      <w:pPr>
        <w:rPr>
          <w:rFonts w:ascii="Arial" w:eastAsia="Arial" w:hAnsi="Arial" w:cs="Arial"/>
          <w:sz w:val="20"/>
          <w:szCs w:val="20"/>
        </w:rPr>
      </w:pPr>
      <w:r w:rsidRPr="637A6DE6">
        <w:rPr>
          <w:rFonts w:ascii="Arial" w:eastAsia="Arial" w:hAnsi="Arial" w:cs="Arial"/>
          <w:sz w:val="20"/>
          <w:szCs w:val="20"/>
        </w:rPr>
        <w:t xml:space="preserve">The Independent Scrutineer is not a typical Chair role. </w:t>
      </w:r>
      <w:proofErr w:type="gramStart"/>
      <w:r w:rsidRPr="637A6DE6">
        <w:rPr>
          <w:rFonts w:ascii="Arial" w:eastAsia="Arial" w:hAnsi="Arial" w:cs="Arial"/>
          <w:sz w:val="20"/>
          <w:szCs w:val="20"/>
        </w:rPr>
        <w:t>In an effort to</w:t>
      </w:r>
      <w:proofErr w:type="gramEnd"/>
      <w:r w:rsidRPr="637A6DE6">
        <w:rPr>
          <w:rFonts w:ascii="Arial" w:eastAsia="Arial" w:hAnsi="Arial" w:cs="Arial"/>
          <w:sz w:val="20"/>
          <w:szCs w:val="20"/>
        </w:rPr>
        <w:t xml:space="preserve"> hold accountability for the agenda the statutory partners will rotate the Chair of the Partnership and Executive accordingly, freeing up the Scrutineer to play the role of critical friend and expert advisor. </w:t>
      </w:r>
      <w:r w:rsidR="4D5CA9C4" w:rsidRPr="637A6DE6">
        <w:rPr>
          <w:rFonts w:ascii="Arial" w:eastAsia="Arial" w:hAnsi="Arial" w:cs="Arial"/>
          <w:sz w:val="20"/>
          <w:szCs w:val="20"/>
        </w:rPr>
        <w:t>The post holder will be invited to an appraisal with City Council Chief Executive every 6 months of their tenure.</w:t>
      </w:r>
    </w:p>
    <w:p w14:paraId="3B45E35F" w14:textId="32271832" w:rsidR="008F6BCD" w:rsidRPr="00A357F6" w:rsidRDefault="7F666220" w:rsidP="637A6DE6">
      <w:pPr>
        <w:rPr>
          <w:rFonts w:ascii="Arial" w:hAnsi="Arial" w:cs="Arial"/>
          <w:sz w:val="20"/>
          <w:szCs w:val="20"/>
        </w:rPr>
      </w:pPr>
      <w:r w:rsidRPr="637A6DE6">
        <w:rPr>
          <w:rFonts w:ascii="Arial" w:hAnsi="Arial" w:cs="Arial"/>
          <w:sz w:val="20"/>
          <w:szCs w:val="20"/>
        </w:rPr>
        <w:t xml:space="preserve"> </w:t>
      </w:r>
      <w:r w:rsidR="008F6BCD" w:rsidRPr="637A6DE6">
        <w:rPr>
          <w:rFonts w:ascii="Arial" w:hAnsi="Arial" w:cs="Arial"/>
          <w:sz w:val="20"/>
          <w:szCs w:val="20"/>
        </w:rPr>
        <w:t>ROLES AND RESPONSIBLITIES</w:t>
      </w:r>
    </w:p>
    <w:p w14:paraId="03309509" w14:textId="77777777" w:rsidR="00896C9F" w:rsidRPr="00A357F6" w:rsidRDefault="00896C9F">
      <w:pPr>
        <w:rPr>
          <w:rFonts w:ascii="Arial" w:hAnsi="Arial" w:cs="Arial"/>
          <w:sz w:val="20"/>
          <w:szCs w:val="20"/>
        </w:rPr>
      </w:pPr>
      <w:r w:rsidRPr="00A357F6">
        <w:rPr>
          <w:rFonts w:ascii="Arial" w:hAnsi="Arial" w:cs="Arial"/>
          <w:sz w:val="20"/>
          <w:szCs w:val="20"/>
        </w:rPr>
        <w:t>To provide independent challenge, enquiry and investigation to the Children’s Safeguarding Partnership, ensuring that it fulfils its statutory responsibilities as established in the Children and Social Work Act 2017 and other related guidance.</w:t>
      </w:r>
    </w:p>
    <w:p w14:paraId="79D22A12" w14:textId="77777777" w:rsidR="00896C9F" w:rsidRPr="00A357F6" w:rsidRDefault="00896C9F">
      <w:pPr>
        <w:rPr>
          <w:rFonts w:ascii="Arial" w:hAnsi="Arial" w:cs="Arial"/>
          <w:sz w:val="20"/>
          <w:szCs w:val="20"/>
        </w:rPr>
      </w:pPr>
      <w:r w:rsidRPr="00A357F6">
        <w:rPr>
          <w:rFonts w:ascii="Arial" w:hAnsi="Arial" w:cs="Arial"/>
          <w:sz w:val="20"/>
          <w:szCs w:val="20"/>
        </w:rPr>
        <w:t xml:space="preserve">To critique, challenge and support deep analysis of safeguarding issues and trends, modelling throughout behaviours that reflect the partnerships dedication to working with families in a transparent and constructive way. </w:t>
      </w:r>
    </w:p>
    <w:p w14:paraId="0EA4F067" w14:textId="77777777" w:rsidR="00896C9F" w:rsidRPr="00A357F6" w:rsidRDefault="00896C9F">
      <w:pPr>
        <w:rPr>
          <w:rFonts w:ascii="Arial" w:hAnsi="Arial" w:cs="Arial"/>
          <w:sz w:val="20"/>
          <w:szCs w:val="20"/>
        </w:rPr>
      </w:pPr>
      <w:r w:rsidRPr="00A357F6">
        <w:rPr>
          <w:rFonts w:ascii="Arial" w:hAnsi="Arial" w:cs="Arial"/>
          <w:sz w:val="20"/>
          <w:szCs w:val="20"/>
        </w:rPr>
        <w:t xml:space="preserve">To provide reports and written summaries of activity that can be reported to a range of audiences, in a timely and concise way, and with a focus on continuous improvement. </w:t>
      </w:r>
    </w:p>
    <w:p w14:paraId="68A74D32" w14:textId="77777777" w:rsidR="00896C9F" w:rsidRPr="00A357F6" w:rsidRDefault="00896C9F">
      <w:pPr>
        <w:rPr>
          <w:rFonts w:ascii="Arial" w:hAnsi="Arial" w:cs="Arial"/>
          <w:sz w:val="20"/>
          <w:szCs w:val="20"/>
        </w:rPr>
      </w:pPr>
      <w:r w:rsidRPr="00A357F6">
        <w:rPr>
          <w:rFonts w:ascii="Arial" w:hAnsi="Arial" w:cs="Arial"/>
          <w:sz w:val="20"/>
          <w:szCs w:val="20"/>
        </w:rPr>
        <w:lastRenderedPageBreak/>
        <w:t xml:space="preserve">To present and comment on assurance and performance information from the safeguarding partners in order to drive continuous improvement and strengthen accountability for impact and outcomes. </w:t>
      </w:r>
    </w:p>
    <w:p w14:paraId="754976B0" w14:textId="77777777" w:rsidR="00A357F6" w:rsidRPr="00A357F6" w:rsidRDefault="00896C9F">
      <w:pPr>
        <w:rPr>
          <w:rFonts w:ascii="Arial" w:hAnsi="Arial" w:cs="Arial"/>
          <w:sz w:val="20"/>
          <w:szCs w:val="20"/>
        </w:rPr>
      </w:pPr>
      <w:r w:rsidRPr="00A357F6">
        <w:rPr>
          <w:rFonts w:ascii="Arial" w:hAnsi="Arial" w:cs="Arial"/>
          <w:sz w:val="20"/>
          <w:szCs w:val="20"/>
        </w:rPr>
        <w:t>To facilitate and drive assurance processes that evidence the robustness and effectiveness of local multi-agency arrangements to safeguard and promote the welfare of children and families.</w:t>
      </w:r>
      <w:r w:rsidR="00A357F6" w:rsidRPr="00A357F6">
        <w:rPr>
          <w:rFonts w:ascii="Arial" w:hAnsi="Arial" w:cs="Arial"/>
          <w:sz w:val="20"/>
          <w:szCs w:val="20"/>
        </w:rPr>
        <w:t xml:space="preserve"> </w:t>
      </w:r>
    </w:p>
    <w:p w14:paraId="1E5B43FD" w14:textId="77777777" w:rsidR="00896C9F" w:rsidRPr="00A357F6" w:rsidRDefault="00A357F6">
      <w:pPr>
        <w:rPr>
          <w:rFonts w:ascii="Arial" w:hAnsi="Arial" w:cs="Arial"/>
          <w:sz w:val="20"/>
          <w:szCs w:val="20"/>
        </w:rPr>
      </w:pPr>
      <w:r w:rsidRPr="00A357F6">
        <w:rPr>
          <w:rFonts w:ascii="Arial" w:hAnsi="Arial" w:cs="Arial"/>
          <w:sz w:val="20"/>
          <w:szCs w:val="20"/>
        </w:rPr>
        <w:t xml:space="preserve">To support partners to explore the opportunity to integrate/align the children, families and vulnerable adults safeguarding partnerships/board paying </w:t>
      </w:r>
      <w:proofErr w:type="gramStart"/>
      <w:r w:rsidRPr="00A357F6">
        <w:rPr>
          <w:rFonts w:ascii="Arial" w:hAnsi="Arial" w:cs="Arial"/>
          <w:sz w:val="20"/>
          <w:szCs w:val="20"/>
        </w:rPr>
        <w:t>particular attention</w:t>
      </w:r>
      <w:proofErr w:type="gramEnd"/>
      <w:r w:rsidRPr="00A357F6">
        <w:rPr>
          <w:rFonts w:ascii="Arial" w:hAnsi="Arial" w:cs="Arial"/>
          <w:sz w:val="20"/>
          <w:szCs w:val="20"/>
        </w:rPr>
        <w:t xml:space="preserve"> to the benefits, risks, governance issues and engagement of practitioners in that development.</w:t>
      </w:r>
    </w:p>
    <w:p w14:paraId="2E4BF2BD" w14:textId="77777777" w:rsidR="00896C9F" w:rsidRPr="00A357F6" w:rsidRDefault="00896C9F">
      <w:pPr>
        <w:rPr>
          <w:rFonts w:ascii="Arial" w:hAnsi="Arial" w:cs="Arial"/>
          <w:sz w:val="20"/>
          <w:szCs w:val="20"/>
        </w:rPr>
      </w:pPr>
      <w:r w:rsidRPr="00A357F6">
        <w:rPr>
          <w:rFonts w:ascii="Arial" w:hAnsi="Arial" w:cs="Arial"/>
          <w:sz w:val="20"/>
          <w:szCs w:val="20"/>
        </w:rPr>
        <w:t>To routinely report to the Executive Board on key issues, escalating effectively and promptly where required.</w:t>
      </w:r>
    </w:p>
    <w:p w14:paraId="32AC0E7C" w14:textId="77777777" w:rsidR="00896C9F" w:rsidRPr="00A357F6" w:rsidRDefault="00896C9F">
      <w:pPr>
        <w:rPr>
          <w:rFonts w:ascii="Arial" w:hAnsi="Arial" w:cs="Arial"/>
          <w:sz w:val="20"/>
          <w:szCs w:val="20"/>
        </w:rPr>
      </w:pPr>
      <w:r w:rsidRPr="00A357F6">
        <w:rPr>
          <w:rFonts w:ascii="Arial" w:hAnsi="Arial" w:cs="Arial"/>
          <w:sz w:val="20"/>
          <w:szCs w:val="20"/>
        </w:rPr>
        <w:t>To assist and provide independent advice to the statutory partners where required.</w:t>
      </w:r>
    </w:p>
    <w:p w14:paraId="0DB46C03" w14:textId="77777777" w:rsidR="00896C9F" w:rsidRPr="00A357F6" w:rsidRDefault="00896C9F">
      <w:pPr>
        <w:rPr>
          <w:rFonts w:ascii="Arial" w:hAnsi="Arial" w:cs="Arial"/>
          <w:sz w:val="20"/>
          <w:szCs w:val="20"/>
        </w:rPr>
      </w:pPr>
      <w:r w:rsidRPr="00A357F6">
        <w:rPr>
          <w:rFonts w:ascii="Arial" w:hAnsi="Arial" w:cs="Arial"/>
          <w:sz w:val="20"/>
          <w:szCs w:val="20"/>
        </w:rPr>
        <w:t xml:space="preserve">Explore and report on the independent perspective of frontline practice through direct conversations with practitioners, to explore and report on how effectively the arrangements are working for them. </w:t>
      </w:r>
    </w:p>
    <w:p w14:paraId="5DA07512" w14:textId="77777777" w:rsidR="00896C9F" w:rsidRPr="00A357F6" w:rsidRDefault="00896C9F">
      <w:pPr>
        <w:rPr>
          <w:rFonts w:ascii="Arial" w:hAnsi="Arial" w:cs="Arial"/>
          <w:sz w:val="20"/>
          <w:szCs w:val="20"/>
        </w:rPr>
      </w:pPr>
      <w:r w:rsidRPr="00A357F6">
        <w:rPr>
          <w:rFonts w:ascii="Arial" w:hAnsi="Arial" w:cs="Arial"/>
          <w:sz w:val="20"/>
          <w:szCs w:val="20"/>
        </w:rPr>
        <w:t>Report any recommendations from assurance activities and detailed safeguarding exercises, as required.</w:t>
      </w:r>
    </w:p>
    <w:p w14:paraId="6FB82667" w14:textId="77777777" w:rsidR="00A357F6" w:rsidRPr="00A357F6" w:rsidRDefault="00A357F6">
      <w:pPr>
        <w:rPr>
          <w:rFonts w:ascii="Arial" w:hAnsi="Arial" w:cs="Arial"/>
          <w:sz w:val="20"/>
          <w:szCs w:val="20"/>
        </w:rPr>
      </w:pPr>
      <w:r w:rsidRPr="00A357F6">
        <w:rPr>
          <w:rFonts w:ascii="Arial" w:hAnsi="Arial" w:cs="Arial"/>
          <w:sz w:val="20"/>
          <w:szCs w:val="20"/>
        </w:rPr>
        <w:t xml:space="preserve">To promote and profile anti-racist, anti-discriminatory practice across all of the </w:t>
      </w:r>
      <w:proofErr w:type="gramStart"/>
      <w:r w:rsidRPr="00A357F6">
        <w:rPr>
          <w:rFonts w:ascii="Arial" w:hAnsi="Arial" w:cs="Arial"/>
          <w:sz w:val="20"/>
          <w:szCs w:val="20"/>
        </w:rPr>
        <w:t>partnerships</w:t>
      </w:r>
      <w:proofErr w:type="gramEnd"/>
      <w:r w:rsidRPr="00A357F6">
        <w:rPr>
          <w:rFonts w:ascii="Arial" w:hAnsi="Arial" w:cs="Arial"/>
          <w:sz w:val="20"/>
          <w:szCs w:val="20"/>
        </w:rPr>
        <w:t xml:space="preserve"> activity.</w:t>
      </w:r>
    </w:p>
    <w:p w14:paraId="06A628B8" w14:textId="77777777" w:rsidR="00896C9F" w:rsidRPr="00A357F6" w:rsidRDefault="00896C9F">
      <w:pPr>
        <w:rPr>
          <w:rFonts w:ascii="Arial" w:hAnsi="Arial" w:cs="Arial"/>
          <w:sz w:val="20"/>
          <w:szCs w:val="20"/>
        </w:rPr>
      </w:pPr>
      <w:r w:rsidRPr="00A357F6">
        <w:rPr>
          <w:rFonts w:ascii="Arial" w:hAnsi="Arial" w:cs="Arial"/>
          <w:sz w:val="20"/>
          <w:szCs w:val="20"/>
        </w:rPr>
        <w:t>Provide independent oversight and scrutiny on serious child safeguarding cases ensuring that reviews are undertaken rigorously and in line with statutory guidance, acting as the liaison between the Safeguarding Partners and the Child Safeguarding Practice Review Panel on cases relating to children. To challenge where necessary decisions on behalf of the partnership on the commissioning of reviews and publication arrangements.</w:t>
      </w:r>
    </w:p>
    <w:p w14:paraId="2F74D284" w14:textId="77777777" w:rsidR="00A357F6" w:rsidRPr="00A357F6" w:rsidRDefault="00A357F6">
      <w:pPr>
        <w:rPr>
          <w:rFonts w:ascii="Arial" w:hAnsi="Arial" w:cs="Arial"/>
          <w:sz w:val="20"/>
          <w:szCs w:val="20"/>
        </w:rPr>
      </w:pPr>
      <w:r w:rsidRPr="00A357F6">
        <w:rPr>
          <w:rFonts w:ascii="Arial" w:hAnsi="Arial" w:cs="Arial"/>
          <w:sz w:val="20"/>
          <w:szCs w:val="20"/>
        </w:rPr>
        <w:t>To assess the findings of outcomes and findings of any safeguarding reviews and hold agencies to account for effective implementation of recommendations identified.</w:t>
      </w:r>
    </w:p>
    <w:p w14:paraId="2FBCEA38" w14:textId="77777777" w:rsidR="00A357F6" w:rsidRPr="00A357F6" w:rsidRDefault="00A357F6">
      <w:pPr>
        <w:rPr>
          <w:rFonts w:ascii="Arial" w:hAnsi="Arial" w:cs="Arial"/>
          <w:sz w:val="20"/>
          <w:szCs w:val="20"/>
        </w:rPr>
      </w:pPr>
      <w:r w:rsidRPr="00A357F6">
        <w:rPr>
          <w:rFonts w:ascii="Arial" w:hAnsi="Arial" w:cs="Arial"/>
          <w:sz w:val="20"/>
          <w:szCs w:val="20"/>
        </w:rPr>
        <w:t>Facilitate the effective operation of multi-agency safeguarding partnership meetings including chairing of meetings and following up progress on decisions and recommendations identified.</w:t>
      </w:r>
    </w:p>
    <w:p w14:paraId="7D723F21" w14:textId="77777777" w:rsidR="00A357F6" w:rsidRPr="00A357F6" w:rsidRDefault="00A357F6">
      <w:pPr>
        <w:rPr>
          <w:rFonts w:ascii="Arial" w:hAnsi="Arial" w:cs="Arial"/>
          <w:sz w:val="20"/>
          <w:szCs w:val="20"/>
        </w:rPr>
      </w:pPr>
      <w:r w:rsidRPr="00A357F6">
        <w:rPr>
          <w:rFonts w:ascii="Arial" w:hAnsi="Arial" w:cs="Arial"/>
          <w:sz w:val="20"/>
          <w:szCs w:val="20"/>
        </w:rPr>
        <w:t xml:space="preserve">Contribute to the content of the partnership’s annual reports on the effectiveness of safeguarding arrangements for children and families. </w:t>
      </w:r>
    </w:p>
    <w:p w14:paraId="22ECDE8F" w14:textId="77777777" w:rsidR="00934221" w:rsidRPr="00A357F6" w:rsidRDefault="00A357F6">
      <w:pPr>
        <w:rPr>
          <w:rFonts w:ascii="Arial" w:hAnsi="Arial" w:cs="Arial"/>
          <w:sz w:val="20"/>
          <w:szCs w:val="20"/>
        </w:rPr>
      </w:pPr>
      <w:r w:rsidRPr="00A357F6">
        <w:rPr>
          <w:rFonts w:ascii="Arial" w:hAnsi="Arial" w:cs="Arial"/>
          <w:sz w:val="20"/>
          <w:szCs w:val="20"/>
        </w:rPr>
        <w:t xml:space="preserve">To support inspection or regulatory activity in any reasonable way. </w:t>
      </w:r>
      <w:r w:rsidR="00896C9F" w:rsidRPr="00A357F6">
        <w:rPr>
          <w:rFonts w:ascii="Arial" w:hAnsi="Arial" w:cs="Arial"/>
          <w:sz w:val="20"/>
          <w:szCs w:val="20"/>
        </w:rPr>
        <w:t xml:space="preserve"> </w:t>
      </w:r>
    </w:p>
    <w:p w14:paraId="7422DA4E" w14:textId="77777777" w:rsidR="00A357F6" w:rsidRPr="00A357F6" w:rsidRDefault="00A357F6">
      <w:pPr>
        <w:rPr>
          <w:rFonts w:ascii="Arial" w:hAnsi="Arial" w:cs="Arial"/>
          <w:sz w:val="20"/>
          <w:szCs w:val="20"/>
        </w:rPr>
      </w:pPr>
    </w:p>
    <w:p w14:paraId="781DD1AD" w14:textId="77777777" w:rsidR="008F6BCD" w:rsidRPr="00A357F6" w:rsidRDefault="008F6BCD">
      <w:pPr>
        <w:rPr>
          <w:rFonts w:ascii="Arial" w:hAnsi="Arial" w:cs="Arial"/>
          <w:sz w:val="20"/>
          <w:szCs w:val="20"/>
        </w:rPr>
      </w:pPr>
      <w:r w:rsidRPr="00A357F6">
        <w:rPr>
          <w:rFonts w:ascii="Arial" w:hAnsi="Arial" w:cs="Arial"/>
          <w:sz w:val="20"/>
          <w:szCs w:val="20"/>
        </w:rPr>
        <w:t>KEY QUALITIES</w:t>
      </w:r>
    </w:p>
    <w:tbl>
      <w:tblPr>
        <w:tblStyle w:val="TableGrid"/>
        <w:tblW w:w="0" w:type="auto"/>
        <w:tblLook w:val="04A0" w:firstRow="1" w:lastRow="0" w:firstColumn="1" w:lastColumn="0" w:noHBand="0" w:noVBand="1"/>
      </w:tblPr>
      <w:tblGrid>
        <w:gridCol w:w="704"/>
        <w:gridCol w:w="8312"/>
      </w:tblGrid>
      <w:tr w:rsidR="008F6BCD" w:rsidRPr="00A357F6" w14:paraId="2DF9AE54" w14:textId="77777777" w:rsidTr="008F6BCD">
        <w:tc>
          <w:tcPr>
            <w:tcW w:w="704" w:type="dxa"/>
          </w:tcPr>
          <w:p w14:paraId="2B01D70E" w14:textId="77777777" w:rsidR="008F6BCD" w:rsidRPr="00A357F6" w:rsidRDefault="008F6BCD">
            <w:pPr>
              <w:rPr>
                <w:rFonts w:ascii="Arial" w:hAnsi="Arial" w:cs="Arial"/>
                <w:b/>
                <w:sz w:val="20"/>
                <w:szCs w:val="20"/>
              </w:rPr>
            </w:pPr>
            <w:r w:rsidRPr="00A357F6">
              <w:rPr>
                <w:rFonts w:ascii="Arial" w:hAnsi="Arial" w:cs="Arial"/>
                <w:b/>
                <w:sz w:val="20"/>
                <w:szCs w:val="20"/>
              </w:rPr>
              <w:t>1</w:t>
            </w:r>
          </w:p>
        </w:tc>
        <w:tc>
          <w:tcPr>
            <w:tcW w:w="8312" w:type="dxa"/>
          </w:tcPr>
          <w:p w14:paraId="00A3FBA6" w14:textId="77777777" w:rsidR="008F6BCD" w:rsidRPr="00A357F6" w:rsidRDefault="008F6BCD">
            <w:pPr>
              <w:rPr>
                <w:rFonts w:ascii="Arial" w:hAnsi="Arial" w:cs="Arial"/>
                <w:b/>
                <w:sz w:val="20"/>
                <w:szCs w:val="20"/>
              </w:rPr>
            </w:pPr>
            <w:r w:rsidRPr="00A357F6">
              <w:rPr>
                <w:rFonts w:ascii="Arial" w:hAnsi="Arial" w:cs="Arial"/>
                <w:b/>
                <w:sz w:val="20"/>
                <w:szCs w:val="20"/>
              </w:rPr>
              <w:t>Education and Knowledge</w:t>
            </w:r>
          </w:p>
        </w:tc>
      </w:tr>
      <w:tr w:rsidR="008F6BCD" w:rsidRPr="00A357F6" w14:paraId="4114780D" w14:textId="77777777" w:rsidTr="008F6BCD">
        <w:tc>
          <w:tcPr>
            <w:tcW w:w="704" w:type="dxa"/>
          </w:tcPr>
          <w:p w14:paraId="5EA187A2" w14:textId="77777777" w:rsidR="008F6BCD" w:rsidRPr="00A357F6" w:rsidRDefault="008F6BCD">
            <w:pPr>
              <w:rPr>
                <w:rFonts w:ascii="Arial" w:hAnsi="Arial" w:cs="Arial"/>
                <w:sz w:val="20"/>
                <w:szCs w:val="20"/>
              </w:rPr>
            </w:pPr>
          </w:p>
        </w:tc>
        <w:tc>
          <w:tcPr>
            <w:tcW w:w="8312" w:type="dxa"/>
          </w:tcPr>
          <w:p w14:paraId="75DD4341" w14:textId="77777777" w:rsidR="008F6BCD" w:rsidRPr="00A357F6" w:rsidRDefault="008F6BCD" w:rsidP="008F6BCD">
            <w:pPr>
              <w:rPr>
                <w:rFonts w:ascii="Arial" w:hAnsi="Arial" w:cs="Arial"/>
                <w:sz w:val="20"/>
                <w:szCs w:val="20"/>
              </w:rPr>
            </w:pPr>
          </w:p>
          <w:p w14:paraId="4469FE43" w14:textId="77777777" w:rsidR="008F6BCD" w:rsidRPr="00A357F6" w:rsidRDefault="008F6BCD" w:rsidP="008F6BCD">
            <w:pPr>
              <w:pStyle w:val="ListParagraph"/>
              <w:numPr>
                <w:ilvl w:val="0"/>
                <w:numId w:val="1"/>
              </w:numPr>
              <w:rPr>
                <w:rFonts w:ascii="Arial" w:hAnsi="Arial" w:cs="Arial"/>
                <w:sz w:val="20"/>
                <w:szCs w:val="20"/>
              </w:rPr>
            </w:pPr>
            <w:r w:rsidRPr="00A357F6">
              <w:rPr>
                <w:rFonts w:ascii="Arial" w:hAnsi="Arial" w:cs="Arial"/>
                <w:sz w:val="20"/>
                <w:szCs w:val="20"/>
              </w:rPr>
              <w:t>Academic and/or professional qualification in a related discipline such as social or health care, education or criminal justice.</w:t>
            </w:r>
          </w:p>
          <w:p w14:paraId="314C2EAD" w14:textId="77777777" w:rsidR="008F6BCD" w:rsidRPr="00A357F6" w:rsidRDefault="008F6BCD" w:rsidP="008F6BCD">
            <w:pPr>
              <w:pStyle w:val="ListParagraph"/>
              <w:numPr>
                <w:ilvl w:val="0"/>
                <w:numId w:val="1"/>
              </w:numPr>
              <w:rPr>
                <w:rFonts w:ascii="Arial" w:hAnsi="Arial" w:cs="Arial"/>
                <w:sz w:val="20"/>
                <w:szCs w:val="20"/>
              </w:rPr>
            </w:pPr>
            <w:r w:rsidRPr="00A357F6">
              <w:rPr>
                <w:rFonts w:ascii="Arial" w:hAnsi="Arial" w:cs="Arial"/>
                <w:sz w:val="20"/>
                <w:szCs w:val="20"/>
              </w:rPr>
              <w:t>Knowledge of recent developments in health care, social care, policing, and legislation and research underpinning child protection and/or safeguarding adult work.</w:t>
            </w:r>
          </w:p>
          <w:p w14:paraId="52A7709F" w14:textId="77777777" w:rsidR="008F6BCD" w:rsidRPr="00A357F6" w:rsidRDefault="008F6BCD" w:rsidP="008F6BCD">
            <w:pPr>
              <w:pStyle w:val="ListParagraph"/>
              <w:numPr>
                <w:ilvl w:val="0"/>
                <w:numId w:val="1"/>
              </w:numPr>
              <w:rPr>
                <w:rFonts w:ascii="Arial" w:hAnsi="Arial" w:cs="Arial"/>
                <w:sz w:val="20"/>
                <w:szCs w:val="20"/>
              </w:rPr>
            </w:pPr>
            <w:r w:rsidRPr="00A357F6">
              <w:rPr>
                <w:rFonts w:ascii="Arial" w:hAnsi="Arial" w:cs="Arial"/>
                <w:sz w:val="20"/>
                <w:szCs w:val="20"/>
              </w:rPr>
              <w:t>Understanding of the importance of monitoring multi-agency safeguarding performance.</w:t>
            </w:r>
          </w:p>
          <w:p w14:paraId="7C98726D" w14:textId="77777777" w:rsidR="008F6BCD" w:rsidRPr="00A357F6" w:rsidRDefault="008F6BCD" w:rsidP="008F6BCD">
            <w:pPr>
              <w:pStyle w:val="ListParagraph"/>
              <w:numPr>
                <w:ilvl w:val="0"/>
                <w:numId w:val="1"/>
              </w:numPr>
              <w:rPr>
                <w:rFonts w:ascii="Arial" w:hAnsi="Arial" w:cs="Arial"/>
                <w:sz w:val="20"/>
                <w:szCs w:val="20"/>
              </w:rPr>
            </w:pPr>
            <w:r w:rsidRPr="00A357F6">
              <w:rPr>
                <w:rFonts w:ascii="Arial" w:hAnsi="Arial" w:cs="Arial"/>
                <w:sz w:val="20"/>
                <w:szCs w:val="20"/>
              </w:rPr>
              <w:t>Understanding of the princip</w:t>
            </w:r>
            <w:r w:rsidR="00A357F6" w:rsidRPr="00A357F6">
              <w:rPr>
                <w:rFonts w:ascii="Arial" w:hAnsi="Arial" w:cs="Arial"/>
                <w:sz w:val="20"/>
                <w:szCs w:val="20"/>
              </w:rPr>
              <w:t>les</w:t>
            </w:r>
            <w:r w:rsidRPr="00A357F6">
              <w:rPr>
                <w:rFonts w:ascii="Arial" w:hAnsi="Arial" w:cs="Arial"/>
                <w:sz w:val="20"/>
                <w:szCs w:val="20"/>
              </w:rPr>
              <w:t xml:space="preserve"> and challenges of partnership working</w:t>
            </w:r>
          </w:p>
          <w:p w14:paraId="7F6ACAA9" w14:textId="77777777" w:rsidR="008F6BCD" w:rsidRPr="00A357F6" w:rsidRDefault="008F6BCD" w:rsidP="00A357F6">
            <w:pPr>
              <w:pStyle w:val="ListParagraph"/>
              <w:numPr>
                <w:ilvl w:val="0"/>
                <w:numId w:val="1"/>
              </w:numPr>
              <w:rPr>
                <w:rFonts w:ascii="Arial" w:hAnsi="Arial" w:cs="Arial"/>
                <w:sz w:val="20"/>
                <w:szCs w:val="20"/>
              </w:rPr>
            </w:pPr>
            <w:r w:rsidRPr="00A357F6">
              <w:rPr>
                <w:rFonts w:ascii="Arial" w:hAnsi="Arial" w:cs="Arial"/>
                <w:sz w:val="20"/>
                <w:szCs w:val="20"/>
              </w:rPr>
              <w:t>A sound understanding of the challenges for leaders in the public sector.</w:t>
            </w:r>
          </w:p>
          <w:p w14:paraId="3EEDBA65" w14:textId="77777777" w:rsidR="008F6BCD" w:rsidRPr="00A357F6" w:rsidRDefault="008F6BCD" w:rsidP="008F6BCD">
            <w:pPr>
              <w:rPr>
                <w:rFonts w:ascii="Arial" w:hAnsi="Arial" w:cs="Arial"/>
                <w:sz w:val="20"/>
                <w:szCs w:val="20"/>
              </w:rPr>
            </w:pPr>
          </w:p>
        </w:tc>
      </w:tr>
      <w:tr w:rsidR="008F6BCD" w:rsidRPr="00A357F6" w14:paraId="2798476E" w14:textId="77777777" w:rsidTr="008F6BCD">
        <w:tc>
          <w:tcPr>
            <w:tcW w:w="704" w:type="dxa"/>
          </w:tcPr>
          <w:p w14:paraId="494E6FE0" w14:textId="77777777" w:rsidR="008F6BCD" w:rsidRPr="00A357F6" w:rsidRDefault="008F6BCD" w:rsidP="008F6BCD">
            <w:pPr>
              <w:rPr>
                <w:rFonts w:ascii="Arial" w:hAnsi="Arial" w:cs="Arial"/>
                <w:b/>
                <w:sz w:val="20"/>
                <w:szCs w:val="20"/>
              </w:rPr>
            </w:pPr>
            <w:r w:rsidRPr="00A357F6">
              <w:rPr>
                <w:rFonts w:ascii="Arial" w:hAnsi="Arial" w:cs="Arial"/>
                <w:b/>
                <w:sz w:val="20"/>
                <w:szCs w:val="20"/>
              </w:rPr>
              <w:t>2</w:t>
            </w:r>
          </w:p>
        </w:tc>
        <w:tc>
          <w:tcPr>
            <w:tcW w:w="8312" w:type="dxa"/>
          </w:tcPr>
          <w:p w14:paraId="6126C674" w14:textId="77777777" w:rsidR="008F6BCD" w:rsidRPr="00A357F6" w:rsidRDefault="008F6BCD" w:rsidP="008F6BCD">
            <w:pPr>
              <w:rPr>
                <w:rFonts w:ascii="Arial" w:hAnsi="Arial" w:cs="Arial"/>
                <w:b/>
                <w:sz w:val="20"/>
                <w:szCs w:val="20"/>
              </w:rPr>
            </w:pPr>
            <w:r w:rsidRPr="00A357F6">
              <w:rPr>
                <w:rFonts w:ascii="Arial" w:hAnsi="Arial" w:cs="Arial"/>
                <w:b/>
                <w:sz w:val="20"/>
                <w:szCs w:val="20"/>
              </w:rPr>
              <w:t xml:space="preserve">Experience </w:t>
            </w:r>
          </w:p>
        </w:tc>
      </w:tr>
      <w:tr w:rsidR="008F6BCD" w:rsidRPr="00A357F6" w14:paraId="720D0E75" w14:textId="77777777" w:rsidTr="008F6BCD">
        <w:tc>
          <w:tcPr>
            <w:tcW w:w="704" w:type="dxa"/>
          </w:tcPr>
          <w:p w14:paraId="17F90108" w14:textId="77777777" w:rsidR="008F6BCD" w:rsidRPr="00A357F6" w:rsidRDefault="008F6BCD" w:rsidP="008F6BCD">
            <w:pPr>
              <w:rPr>
                <w:rFonts w:ascii="Arial" w:hAnsi="Arial" w:cs="Arial"/>
                <w:sz w:val="20"/>
                <w:szCs w:val="20"/>
              </w:rPr>
            </w:pPr>
          </w:p>
        </w:tc>
        <w:tc>
          <w:tcPr>
            <w:tcW w:w="8312" w:type="dxa"/>
          </w:tcPr>
          <w:p w14:paraId="46A960FB" w14:textId="77777777" w:rsidR="008F6BCD" w:rsidRPr="00A357F6" w:rsidRDefault="008F6BCD" w:rsidP="00A357F6">
            <w:pPr>
              <w:pStyle w:val="ListParagraph"/>
              <w:numPr>
                <w:ilvl w:val="0"/>
                <w:numId w:val="4"/>
              </w:numPr>
              <w:rPr>
                <w:rFonts w:ascii="Arial" w:hAnsi="Arial" w:cs="Arial"/>
                <w:sz w:val="20"/>
                <w:szCs w:val="20"/>
              </w:rPr>
            </w:pPr>
            <w:r w:rsidRPr="00A357F6">
              <w:rPr>
                <w:rFonts w:ascii="Arial" w:hAnsi="Arial" w:cs="Arial"/>
                <w:sz w:val="20"/>
                <w:szCs w:val="20"/>
              </w:rPr>
              <w:t>Substantial experience of providing leadership of multi-agency groups in relation to safeguarding children and/or safeguarding adults at operational and strategic levels.</w:t>
            </w:r>
          </w:p>
          <w:p w14:paraId="6AFA4530" w14:textId="77777777" w:rsidR="008F6BCD" w:rsidRPr="00A357F6" w:rsidRDefault="00A357F6" w:rsidP="00A357F6">
            <w:pPr>
              <w:pStyle w:val="ListParagraph"/>
              <w:numPr>
                <w:ilvl w:val="0"/>
                <w:numId w:val="4"/>
              </w:numPr>
              <w:rPr>
                <w:rFonts w:ascii="Arial" w:hAnsi="Arial" w:cs="Arial"/>
                <w:sz w:val="20"/>
                <w:szCs w:val="20"/>
              </w:rPr>
            </w:pPr>
            <w:r w:rsidRPr="00A357F6">
              <w:rPr>
                <w:rFonts w:ascii="Arial" w:hAnsi="Arial" w:cs="Arial"/>
                <w:sz w:val="20"/>
                <w:szCs w:val="20"/>
              </w:rPr>
              <w:t>Of interpreting m</w:t>
            </w:r>
            <w:r w:rsidR="008F6BCD" w:rsidRPr="00A357F6">
              <w:rPr>
                <w:rFonts w:ascii="Arial" w:hAnsi="Arial" w:cs="Arial"/>
                <w:sz w:val="20"/>
                <w:szCs w:val="20"/>
              </w:rPr>
              <w:t xml:space="preserve">ulti-agency performance </w:t>
            </w:r>
            <w:r w:rsidRPr="00A357F6">
              <w:rPr>
                <w:rFonts w:ascii="Arial" w:hAnsi="Arial" w:cs="Arial"/>
                <w:sz w:val="20"/>
                <w:szCs w:val="20"/>
              </w:rPr>
              <w:t>information and</w:t>
            </w:r>
            <w:r w:rsidR="008F6BCD" w:rsidRPr="00A357F6">
              <w:rPr>
                <w:rFonts w:ascii="Arial" w:hAnsi="Arial" w:cs="Arial"/>
                <w:sz w:val="20"/>
                <w:szCs w:val="20"/>
              </w:rPr>
              <w:t xml:space="preserve"> framework</w:t>
            </w:r>
            <w:r w:rsidRPr="00A357F6">
              <w:rPr>
                <w:rFonts w:ascii="Arial" w:hAnsi="Arial" w:cs="Arial"/>
                <w:sz w:val="20"/>
                <w:szCs w:val="20"/>
              </w:rPr>
              <w:t>s</w:t>
            </w:r>
          </w:p>
          <w:p w14:paraId="1E3D31A2" w14:textId="77777777" w:rsidR="008F6BCD" w:rsidRPr="00A357F6" w:rsidRDefault="00A357F6" w:rsidP="00A357F6">
            <w:pPr>
              <w:pStyle w:val="ListParagraph"/>
              <w:numPr>
                <w:ilvl w:val="0"/>
                <w:numId w:val="4"/>
              </w:numPr>
              <w:rPr>
                <w:rFonts w:ascii="Arial" w:hAnsi="Arial" w:cs="Arial"/>
                <w:sz w:val="20"/>
                <w:szCs w:val="20"/>
              </w:rPr>
            </w:pPr>
            <w:r w:rsidRPr="00A357F6">
              <w:rPr>
                <w:rFonts w:ascii="Arial" w:hAnsi="Arial" w:cs="Arial"/>
                <w:sz w:val="20"/>
                <w:szCs w:val="20"/>
              </w:rPr>
              <w:lastRenderedPageBreak/>
              <w:t>Of undertaking c</w:t>
            </w:r>
            <w:r w:rsidR="008F6BCD" w:rsidRPr="00A357F6">
              <w:rPr>
                <w:rFonts w:ascii="Arial" w:hAnsi="Arial" w:cs="Arial"/>
                <w:sz w:val="20"/>
                <w:szCs w:val="20"/>
              </w:rPr>
              <w:t>ase reviews and audit</w:t>
            </w:r>
            <w:r w:rsidRPr="00A357F6">
              <w:rPr>
                <w:rFonts w:ascii="Arial" w:hAnsi="Arial" w:cs="Arial"/>
                <w:sz w:val="20"/>
                <w:szCs w:val="20"/>
              </w:rPr>
              <w:t xml:space="preserve"> </w:t>
            </w:r>
            <w:proofErr w:type="gramStart"/>
            <w:r w:rsidRPr="00A357F6">
              <w:rPr>
                <w:rFonts w:ascii="Arial" w:hAnsi="Arial" w:cs="Arial"/>
                <w:sz w:val="20"/>
                <w:szCs w:val="20"/>
              </w:rPr>
              <w:t>activity,</w:t>
            </w:r>
            <w:r w:rsidR="008F6BCD" w:rsidRPr="00A357F6">
              <w:rPr>
                <w:rFonts w:ascii="Arial" w:hAnsi="Arial" w:cs="Arial"/>
                <w:sz w:val="20"/>
                <w:szCs w:val="20"/>
              </w:rPr>
              <w:t xml:space="preserve"> and</w:t>
            </w:r>
            <w:proofErr w:type="gramEnd"/>
            <w:r w:rsidR="008F6BCD" w:rsidRPr="00A357F6">
              <w:rPr>
                <w:rFonts w:ascii="Arial" w:hAnsi="Arial" w:cs="Arial"/>
                <w:sz w:val="20"/>
                <w:szCs w:val="20"/>
              </w:rPr>
              <w:t xml:space="preserve"> liaising with central government bodies such as the CQC, Ofsted and/or the National Safeguarding Practice Review Panel.</w:t>
            </w:r>
          </w:p>
          <w:p w14:paraId="2CA5DC9C" w14:textId="77777777" w:rsidR="008F6BCD" w:rsidRPr="00A357F6" w:rsidRDefault="008F6BCD" w:rsidP="00A357F6">
            <w:pPr>
              <w:pStyle w:val="ListParagraph"/>
              <w:rPr>
                <w:rFonts w:ascii="Arial" w:hAnsi="Arial" w:cs="Arial"/>
                <w:sz w:val="20"/>
                <w:szCs w:val="20"/>
              </w:rPr>
            </w:pPr>
          </w:p>
        </w:tc>
      </w:tr>
      <w:tr w:rsidR="008F6BCD" w:rsidRPr="00A357F6" w14:paraId="15D0A305" w14:textId="77777777" w:rsidTr="008F6BCD">
        <w:tc>
          <w:tcPr>
            <w:tcW w:w="704" w:type="dxa"/>
          </w:tcPr>
          <w:p w14:paraId="79F08AC6" w14:textId="77777777" w:rsidR="008F6BCD" w:rsidRPr="00A357F6" w:rsidRDefault="008F6BCD" w:rsidP="008F6BCD">
            <w:pPr>
              <w:rPr>
                <w:rFonts w:ascii="Arial" w:hAnsi="Arial" w:cs="Arial"/>
                <w:b/>
                <w:sz w:val="20"/>
                <w:szCs w:val="20"/>
              </w:rPr>
            </w:pPr>
            <w:r w:rsidRPr="00A357F6">
              <w:rPr>
                <w:rFonts w:ascii="Arial" w:hAnsi="Arial" w:cs="Arial"/>
                <w:b/>
                <w:sz w:val="20"/>
                <w:szCs w:val="20"/>
              </w:rPr>
              <w:lastRenderedPageBreak/>
              <w:t>3</w:t>
            </w:r>
          </w:p>
        </w:tc>
        <w:tc>
          <w:tcPr>
            <w:tcW w:w="8312" w:type="dxa"/>
          </w:tcPr>
          <w:p w14:paraId="1C08B9E7" w14:textId="77777777" w:rsidR="008F6BCD" w:rsidRPr="00A357F6" w:rsidRDefault="008F6BCD" w:rsidP="00A357F6">
            <w:pPr>
              <w:pStyle w:val="ListParagraph"/>
              <w:numPr>
                <w:ilvl w:val="0"/>
                <w:numId w:val="4"/>
              </w:numPr>
              <w:rPr>
                <w:rFonts w:ascii="Arial" w:hAnsi="Arial" w:cs="Arial"/>
                <w:b/>
                <w:sz w:val="20"/>
                <w:szCs w:val="20"/>
              </w:rPr>
            </w:pPr>
            <w:r w:rsidRPr="00A357F6">
              <w:rPr>
                <w:rFonts w:ascii="Arial" w:hAnsi="Arial" w:cs="Arial"/>
                <w:b/>
                <w:sz w:val="20"/>
                <w:szCs w:val="20"/>
              </w:rPr>
              <w:t xml:space="preserve">Skills/Personal Attributes </w:t>
            </w:r>
          </w:p>
        </w:tc>
      </w:tr>
      <w:tr w:rsidR="008F6BCD" w:rsidRPr="00A357F6" w14:paraId="382F3627" w14:textId="77777777" w:rsidTr="008F6BCD">
        <w:tc>
          <w:tcPr>
            <w:tcW w:w="704" w:type="dxa"/>
          </w:tcPr>
          <w:p w14:paraId="000AB0F7" w14:textId="77777777" w:rsidR="008F6BCD" w:rsidRPr="00A357F6" w:rsidRDefault="008F6BCD" w:rsidP="008F6BCD">
            <w:pPr>
              <w:rPr>
                <w:rFonts w:ascii="Arial" w:hAnsi="Arial" w:cs="Arial"/>
                <w:b/>
                <w:sz w:val="20"/>
                <w:szCs w:val="20"/>
              </w:rPr>
            </w:pPr>
          </w:p>
        </w:tc>
        <w:tc>
          <w:tcPr>
            <w:tcW w:w="8312" w:type="dxa"/>
          </w:tcPr>
          <w:p w14:paraId="3533A569" w14:textId="77777777" w:rsidR="008F6BCD" w:rsidRPr="00A357F6" w:rsidRDefault="008F6BCD" w:rsidP="008F6BCD">
            <w:pPr>
              <w:pStyle w:val="ListParagraph"/>
              <w:numPr>
                <w:ilvl w:val="0"/>
                <w:numId w:val="2"/>
              </w:numPr>
              <w:rPr>
                <w:rFonts w:ascii="Arial" w:hAnsi="Arial" w:cs="Arial"/>
                <w:sz w:val="20"/>
                <w:szCs w:val="20"/>
              </w:rPr>
            </w:pPr>
            <w:r w:rsidRPr="00A357F6">
              <w:rPr>
                <w:rFonts w:ascii="Arial" w:hAnsi="Arial" w:cs="Arial"/>
                <w:sz w:val="20"/>
                <w:szCs w:val="20"/>
              </w:rPr>
              <w:t xml:space="preserve">Excellent </w:t>
            </w:r>
            <w:r w:rsidR="00A357F6" w:rsidRPr="00A357F6">
              <w:rPr>
                <w:rFonts w:ascii="Arial" w:hAnsi="Arial" w:cs="Arial"/>
                <w:sz w:val="20"/>
                <w:szCs w:val="20"/>
              </w:rPr>
              <w:t>communication and relationship skills</w:t>
            </w:r>
            <w:r w:rsidRPr="00A357F6">
              <w:rPr>
                <w:rFonts w:ascii="Arial" w:hAnsi="Arial" w:cs="Arial"/>
                <w:sz w:val="20"/>
                <w:szCs w:val="20"/>
              </w:rPr>
              <w:t>.</w:t>
            </w:r>
          </w:p>
          <w:p w14:paraId="195D7109" w14:textId="77777777" w:rsidR="008F6BCD" w:rsidRPr="00A357F6" w:rsidRDefault="008F6BCD" w:rsidP="008F6BCD">
            <w:pPr>
              <w:pStyle w:val="ListParagraph"/>
              <w:numPr>
                <w:ilvl w:val="0"/>
                <w:numId w:val="2"/>
              </w:numPr>
              <w:rPr>
                <w:rFonts w:ascii="Arial" w:hAnsi="Arial" w:cs="Arial"/>
                <w:sz w:val="20"/>
                <w:szCs w:val="20"/>
              </w:rPr>
            </w:pPr>
            <w:r w:rsidRPr="00A357F6">
              <w:rPr>
                <w:rFonts w:ascii="Arial" w:hAnsi="Arial" w:cs="Arial"/>
                <w:sz w:val="20"/>
                <w:szCs w:val="20"/>
              </w:rPr>
              <w:t>Strong analytical skills, an ability to assimilate large volumes of information, draw clear conclusions and make appropriate recommendations.</w:t>
            </w:r>
          </w:p>
          <w:p w14:paraId="30C616C0" w14:textId="77777777" w:rsidR="008F6BCD" w:rsidRPr="00A357F6" w:rsidRDefault="008F6BCD" w:rsidP="008F6BCD">
            <w:pPr>
              <w:pStyle w:val="ListParagraph"/>
              <w:numPr>
                <w:ilvl w:val="0"/>
                <w:numId w:val="2"/>
              </w:numPr>
              <w:rPr>
                <w:rFonts w:ascii="Arial" w:hAnsi="Arial" w:cs="Arial"/>
                <w:sz w:val="20"/>
                <w:szCs w:val="20"/>
              </w:rPr>
            </w:pPr>
            <w:r w:rsidRPr="00A357F6">
              <w:rPr>
                <w:rFonts w:ascii="Arial" w:hAnsi="Arial" w:cs="Arial"/>
                <w:sz w:val="20"/>
                <w:szCs w:val="20"/>
              </w:rPr>
              <w:t xml:space="preserve">Ability to work in </w:t>
            </w:r>
            <w:proofErr w:type="spellStart"/>
            <w:proofErr w:type="gramStart"/>
            <w:r w:rsidRPr="00A357F6">
              <w:rPr>
                <w:rFonts w:ascii="Arial" w:hAnsi="Arial" w:cs="Arial"/>
                <w:sz w:val="20"/>
                <w:szCs w:val="20"/>
              </w:rPr>
              <w:t>a</w:t>
            </w:r>
            <w:proofErr w:type="spellEnd"/>
            <w:proofErr w:type="gramEnd"/>
            <w:r w:rsidRPr="00A357F6">
              <w:rPr>
                <w:rFonts w:ascii="Arial" w:hAnsi="Arial" w:cs="Arial"/>
                <w:sz w:val="20"/>
                <w:szCs w:val="20"/>
              </w:rPr>
              <w:t xml:space="preserve"> </w:t>
            </w:r>
            <w:r w:rsidR="00A357F6" w:rsidRPr="00A357F6">
              <w:rPr>
                <w:rFonts w:ascii="Arial" w:hAnsi="Arial" w:cs="Arial"/>
                <w:sz w:val="20"/>
                <w:szCs w:val="20"/>
              </w:rPr>
              <w:t>anti-racist</w:t>
            </w:r>
            <w:r w:rsidRPr="00A357F6">
              <w:rPr>
                <w:rFonts w:ascii="Arial" w:hAnsi="Arial" w:cs="Arial"/>
                <w:sz w:val="20"/>
                <w:szCs w:val="20"/>
              </w:rPr>
              <w:t>/multi-cultural context, respect</w:t>
            </w:r>
            <w:r w:rsidR="00A357F6" w:rsidRPr="00A357F6">
              <w:rPr>
                <w:rFonts w:ascii="Arial" w:hAnsi="Arial" w:cs="Arial"/>
                <w:sz w:val="20"/>
                <w:szCs w:val="20"/>
              </w:rPr>
              <w:t xml:space="preserve">ing </w:t>
            </w:r>
            <w:r w:rsidRPr="00A357F6">
              <w:rPr>
                <w:rFonts w:ascii="Arial" w:hAnsi="Arial" w:cs="Arial"/>
                <w:sz w:val="20"/>
                <w:szCs w:val="20"/>
              </w:rPr>
              <w:t>and valu</w:t>
            </w:r>
            <w:r w:rsidR="00A357F6" w:rsidRPr="00A357F6">
              <w:rPr>
                <w:rFonts w:ascii="Arial" w:hAnsi="Arial" w:cs="Arial"/>
                <w:sz w:val="20"/>
                <w:szCs w:val="20"/>
              </w:rPr>
              <w:t>ing</w:t>
            </w:r>
            <w:r w:rsidRPr="00A357F6">
              <w:rPr>
                <w:rFonts w:ascii="Arial" w:hAnsi="Arial" w:cs="Arial"/>
                <w:sz w:val="20"/>
                <w:szCs w:val="20"/>
              </w:rPr>
              <w:t xml:space="preserve"> diversity.</w:t>
            </w:r>
          </w:p>
          <w:p w14:paraId="3A638B3B" w14:textId="77777777" w:rsidR="008F6BCD" w:rsidRPr="00A357F6" w:rsidRDefault="008F6BCD" w:rsidP="008F6BCD">
            <w:pPr>
              <w:pStyle w:val="ListParagraph"/>
              <w:numPr>
                <w:ilvl w:val="0"/>
                <w:numId w:val="2"/>
              </w:numPr>
              <w:rPr>
                <w:rFonts w:ascii="Arial" w:hAnsi="Arial" w:cs="Arial"/>
                <w:sz w:val="20"/>
                <w:szCs w:val="20"/>
              </w:rPr>
            </w:pPr>
            <w:r w:rsidRPr="00A357F6">
              <w:rPr>
                <w:rFonts w:ascii="Arial" w:hAnsi="Arial" w:cs="Arial"/>
                <w:sz w:val="20"/>
                <w:szCs w:val="20"/>
              </w:rPr>
              <w:t>Ability to recognise discrimination in its many forms and promote equal opportunities.</w:t>
            </w:r>
          </w:p>
          <w:p w14:paraId="17E13B37" w14:textId="77777777" w:rsidR="008F6BCD" w:rsidRPr="00A357F6" w:rsidRDefault="008F6BCD" w:rsidP="008F6BCD">
            <w:pPr>
              <w:pStyle w:val="ListParagraph"/>
              <w:numPr>
                <w:ilvl w:val="0"/>
                <w:numId w:val="2"/>
              </w:numPr>
              <w:rPr>
                <w:rFonts w:ascii="Arial" w:hAnsi="Arial" w:cs="Arial"/>
                <w:sz w:val="20"/>
                <w:szCs w:val="20"/>
              </w:rPr>
            </w:pPr>
            <w:r w:rsidRPr="00A357F6">
              <w:rPr>
                <w:rFonts w:ascii="Arial" w:hAnsi="Arial" w:cs="Arial"/>
                <w:sz w:val="20"/>
                <w:szCs w:val="20"/>
              </w:rPr>
              <w:t>Ability to ensure appropriate handling of sensitive information.</w:t>
            </w:r>
          </w:p>
          <w:p w14:paraId="36A96C39" w14:textId="77777777" w:rsidR="008F6BCD" w:rsidRPr="00A357F6" w:rsidRDefault="008F6BCD" w:rsidP="008F6BCD">
            <w:pPr>
              <w:pStyle w:val="ListParagraph"/>
              <w:numPr>
                <w:ilvl w:val="0"/>
                <w:numId w:val="2"/>
              </w:numPr>
              <w:rPr>
                <w:rFonts w:ascii="Arial" w:hAnsi="Arial" w:cs="Arial"/>
                <w:sz w:val="20"/>
                <w:szCs w:val="20"/>
              </w:rPr>
            </w:pPr>
            <w:r w:rsidRPr="00A357F6">
              <w:rPr>
                <w:rFonts w:ascii="Arial" w:hAnsi="Arial" w:cs="Arial"/>
                <w:sz w:val="20"/>
                <w:szCs w:val="20"/>
              </w:rPr>
              <w:t xml:space="preserve">A high level of personal drive and commitment to excellent </w:t>
            </w:r>
            <w:r w:rsidR="00A357F6" w:rsidRPr="00A357F6">
              <w:rPr>
                <w:rFonts w:ascii="Arial" w:hAnsi="Arial" w:cs="Arial"/>
                <w:sz w:val="20"/>
                <w:szCs w:val="20"/>
              </w:rPr>
              <w:t xml:space="preserve">public service and the </w:t>
            </w:r>
            <w:r w:rsidRPr="00A357F6">
              <w:rPr>
                <w:rFonts w:ascii="Arial" w:hAnsi="Arial" w:cs="Arial"/>
                <w:sz w:val="20"/>
                <w:szCs w:val="20"/>
              </w:rPr>
              <w:t>ability</w:t>
            </w:r>
            <w:r w:rsidR="00A357F6" w:rsidRPr="00A357F6">
              <w:rPr>
                <w:rFonts w:ascii="Arial" w:hAnsi="Arial" w:cs="Arial"/>
                <w:sz w:val="20"/>
                <w:szCs w:val="20"/>
              </w:rPr>
              <w:t xml:space="preserve"> to model positive behaviours</w:t>
            </w:r>
            <w:r w:rsidRPr="00A357F6">
              <w:rPr>
                <w:rFonts w:ascii="Arial" w:hAnsi="Arial" w:cs="Arial"/>
                <w:sz w:val="20"/>
                <w:szCs w:val="20"/>
              </w:rPr>
              <w:t>.</w:t>
            </w:r>
          </w:p>
          <w:p w14:paraId="1CA985E0" w14:textId="77777777" w:rsidR="008F6BCD" w:rsidRPr="00A357F6" w:rsidRDefault="008F6BCD" w:rsidP="008F6BCD">
            <w:pPr>
              <w:pStyle w:val="ListParagraph"/>
              <w:numPr>
                <w:ilvl w:val="0"/>
                <w:numId w:val="2"/>
              </w:numPr>
              <w:rPr>
                <w:rFonts w:ascii="Arial" w:hAnsi="Arial" w:cs="Arial"/>
                <w:sz w:val="20"/>
                <w:szCs w:val="20"/>
              </w:rPr>
            </w:pPr>
            <w:r w:rsidRPr="00A357F6">
              <w:rPr>
                <w:rFonts w:ascii="Arial" w:hAnsi="Arial" w:cs="Arial"/>
                <w:sz w:val="20"/>
                <w:szCs w:val="20"/>
              </w:rPr>
              <w:t>Strong interpersonal skills to gain the agreement and acceptance of others including colleagues, senior managers and incorporating services user’s views.</w:t>
            </w:r>
          </w:p>
          <w:p w14:paraId="2E819A93" w14:textId="77777777" w:rsidR="008F6BCD" w:rsidRPr="00A357F6" w:rsidRDefault="008F6BCD" w:rsidP="008F6BCD">
            <w:pPr>
              <w:pStyle w:val="ListParagraph"/>
              <w:numPr>
                <w:ilvl w:val="0"/>
                <w:numId w:val="2"/>
              </w:numPr>
              <w:rPr>
                <w:rFonts w:ascii="Arial" w:hAnsi="Arial" w:cs="Arial"/>
                <w:sz w:val="20"/>
                <w:szCs w:val="20"/>
              </w:rPr>
            </w:pPr>
            <w:r w:rsidRPr="00A357F6">
              <w:rPr>
                <w:rFonts w:ascii="Arial" w:hAnsi="Arial" w:cs="Arial"/>
                <w:sz w:val="20"/>
                <w:szCs w:val="20"/>
              </w:rPr>
              <w:t>Ability to meet agreed objectives and delivery targets.</w:t>
            </w:r>
          </w:p>
          <w:p w14:paraId="3D13B5B8" w14:textId="77777777" w:rsidR="008F6BCD" w:rsidRPr="00A357F6" w:rsidRDefault="008F6BCD" w:rsidP="00A357F6">
            <w:pPr>
              <w:pStyle w:val="ListParagraph"/>
              <w:numPr>
                <w:ilvl w:val="0"/>
                <w:numId w:val="2"/>
              </w:numPr>
              <w:rPr>
                <w:rFonts w:ascii="Arial" w:hAnsi="Arial" w:cs="Arial"/>
                <w:b/>
                <w:sz w:val="20"/>
                <w:szCs w:val="20"/>
              </w:rPr>
            </w:pPr>
            <w:r w:rsidRPr="00A357F6">
              <w:rPr>
                <w:rFonts w:ascii="Arial" w:hAnsi="Arial" w:cs="Arial"/>
                <w:sz w:val="20"/>
                <w:szCs w:val="20"/>
              </w:rPr>
              <w:t>Ability to challenge skilfully.</w:t>
            </w:r>
          </w:p>
        </w:tc>
      </w:tr>
      <w:tr w:rsidR="008F6BCD" w:rsidRPr="00A357F6" w14:paraId="1AB63EEF" w14:textId="77777777" w:rsidTr="008F6BCD">
        <w:tc>
          <w:tcPr>
            <w:tcW w:w="704" w:type="dxa"/>
          </w:tcPr>
          <w:p w14:paraId="063D35A3" w14:textId="77777777" w:rsidR="008F6BCD" w:rsidRPr="00A357F6" w:rsidRDefault="008F6BCD" w:rsidP="008F6BCD">
            <w:pPr>
              <w:rPr>
                <w:rFonts w:ascii="Arial" w:hAnsi="Arial" w:cs="Arial"/>
                <w:b/>
                <w:sz w:val="20"/>
                <w:szCs w:val="20"/>
              </w:rPr>
            </w:pPr>
            <w:r w:rsidRPr="00A357F6">
              <w:rPr>
                <w:rFonts w:ascii="Arial" w:hAnsi="Arial" w:cs="Arial"/>
                <w:b/>
                <w:sz w:val="20"/>
                <w:szCs w:val="20"/>
              </w:rPr>
              <w:t>4</w:t>
            </w:r>
          </w:p>
        </w:tc>
        <w:tc>
          <w:tcPr>
            <w:tcW w:w="8312" w:type="dxa"/>
          </w:tcPr>
          <w:p w14:paraId="753F5BEB" w14:textId="77777777" w:rsidR="008F6BCD" w:rsidRPr="00A357F6" w:rsidRDefault="008F6BCD" w:rsidP="008F6BCD">
            <w:pPr>
              <w:rPr>
                <w:rFonts w:ascii="Arial" w:hAnsi="Arial" w:cs="Arial"/>
                <w:b/>
                <w:sz w:val="20"/>
                <w:szCs w:val="20"/>
              </w:rPr>
            </w:pPr>
            <w:r w:rsidRPr="00A357F6">
              <w:rPr>
                <w:rFonts w:ascii="Arial" w:hAnsi="Arial" w:cs="Arial"/>
                <w:b/>
                <w:sz w:val="20"/>
                <w:szCs w:val="20"/>
              </w:rPr>
              <w:t xml:space="preserve">Special Requirements </w:t>
            </w:r>
          </w:p>
        </w:tc>
      </w:tr>
      <w:tr w:rsidR="008F6BCD" w:rsidRPr="00A357F6" w14:paraId="6FE6E9AD" w14:textId="77777777" w:rsidTr="008F6BCD">
        <w:tc>
          <w:tcPr>
            <w:tcW w:w="704" w:type="dxa"/>
          </w:tcPr>
          <w:p w14:paraId="5C991457" w14:textId="77777777" w:rsidR="008F6BCD" w:rsidRPr="00A357F6" w:rsidRDefault="008F6BCD" w:rsidP="008F6BCD">
            <w:pPr>
              <w:rPr>
                <w:rFonts w:ascii="Arial" w:hAnsi="Arial" w:cs="Arial"/>
                <w:sz w:val="20"/>
                <w:szCs w:val="20"/>
              </w:rPr>
            </w:pPr>
          </w:p>
        </w:tc>
        <w:tc>
          <w:tcPr>
            <w:tcW w:w="8312" w:type="dxa"/>
          </w:tcPr>
          <w:p w14:paraId="77AE2C50" w14:textId="77777777" w:rsidR="008F6BCD" w:rsidRPr="00A357F6" w:rsidRDefault="00A357F6" w:rsidP="00A357F6">
            <w:pPr>
              <w:pStyle w:val="ListParagraph"/>
              <w:numPr>
                <w:ilvl w:val="0"/>
                <w:numId w:val="5"/>
              </w:numPr>
              <w:rPr>
                <w:rFonts w:ascii="Arial" w:hAnsi="Arial" w:cs="Arial"/>
                <w:sz w:val="20"/>
                <w:szCs w:val="20"/>
              </w:rPr>
            </w:pPr>
            <w:r w:rsidRPr="00A357F6">
              <w:rPr>
                <w:rFonts w:ascii="Arial" w:hAnsi="Arial" w:cs="Arial"/>
                <w:sz w:val="20"/>
                <w:szCs w:val="20"/>
              </w:rPr>
              <w:t xml:space="preserve">Suitability to work with vulnerable children and adult </w:t>
            </w:r>
          </w:p>
        </w:tc>
      </w:tr>
      <w:tr w:rsidR="00A357F6" w:rsidRPr="00A357F6" w14:paraId="5BC15983" w14:textId="77777777" w:rsidTr="008F6BCD">
        <w:tc>
          <w:tcPr>
            <w:tcW w:w="704" w:type="dxa"/>
          </w:tcPr>
          <w:p w14:paraId="089F925A" w14:textId="77777777" w:rsidR="00A357F6" w:rsidRPr="00A357F6" w:rsidRDefault="00A357F6" w:rsidP="008F6BCD">
            <w:pPr>
              <w:rPr>
                <w:rFonts w:ascii="Arial" w:hAnsi="Arial" w:cs="Arial"/>
                <w:sz w:val="20"/>
                <w:szCs w:val="20"/>
              </w:rPr>
            </w:pPr>
          </w:p>
        </w:tc>
        <w:tc>
          <w:tcPr>
            <w:tcW w:w="8312" w:type="dxa"/>
          </w:tcPr>
          <w:p w14:paraId="6CBE4DF3" w14:textId="77777777" w:rsidR="00A357F6" w:rsidRPr="00A357F6" w:rsidRDefault="00A357F6" w:rsidP="00A357F6">
            <w:pPr>
              <w:pStyle w:val="ListParagraph"/>
              <w:numPr>
                <w:ilvl w:val="0"/>
                <w:numId w:val="5"/>
              </w:numPr>
              <w:rPr>
                <w:rFonts w:ascii="Arial" w:hAnsi="Arial" w:cs="Arial"/>
                <w:sz w:val="20"/>
                <w:szCs w:val="20"/>
              </w:rPr>
            </w:pPr>
            <w:r w:rsidRPr="00A357F6">
              <w:rPr>
                <w:rFonts w:ascii="Arial" w:hAnsi="Arial" w:cs="Arial"/>
                <w:sz w:val="20"/>
                <w:szCs w:val="20"/>
              </w:rPr>
              <w:t>Enhanced DBS check require and 3 yearly re-checking process will be undertaken.</w:t>
            </w:r>
          </w:p>
        </w:tc>
      </w:tr>
    </w:tbl>
    <w:p w14:paraId="2393E8B5" w14:textId="77777777" w:rsidR="008F6BCD" w:rsidRPr="00A357F6" w:rsidRDefault="008F6BCD">
      <w:pPr>
        <w:rPr>
          <w:rFonts w:ascii="Arial" w:hAnsi="Arial" w:cs="Arial"/>
          <w:sz w:val="20"/>
          <w:szCs w:val="20"/>
        </w:rPr>
      </w:pPr>
    </w:p>
    <w:sectPr w:rsidR="008F6BCD" w:rsidRPr="00A357F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27A61" w14:textId="77777777" w:rsidR="00A357F6" w:rsidRDefault="00A357F6" w:rsidP="00A357F6">
      <w:pPr>
        <w:spacing w:after="0" w:line="240" w:lineRule="auto"/>
      </w:pPr>
      <w:r>
        <w:separator/>
      </w:r>
    </w:p>
  </w:endnote>
  <w:endnote w:type="continuationSeparator" w:id="0">
    <w:p w14:paraId="16380502" w14:textId="77777777" w:rsidR="00A357F6" w:rsidRDefault="00A357F6" w:rsidP="00A3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312521"/>
      <w:docPartObj>
        <w:docPartGallery w:val="Page Numbers (Bottom of Page)"/>
        <w:docPartUnique/>
      </w:docPartObj>
    </w:sdtPr>
    <w:sdtEndPr>
      <w:rPr>
        <w:noProof/>
      </w:rPr>
    </w:sdtEndPr>
    <w:sdtContent>
      <w:p w14:paraId="66EA7902" w14:textId="77777777" w:rsidR="00A357F6" w:rsidRDefault="00A357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124DB" w14:textId="77777777" w:rsidR="00A357F6" w:rsidRDefault="00A35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C2FF" w14:textId="77777777" w:rsidR="00A357F6" w:rsidRDefault="00A357F6" w:rsidP="00A357F6">
      <w:pPr>
        <w:spacing w:after="0" w:line="240" w:lineRule="auto"/>
      </w:pPr>
      <w:r>
        <w:separator/>
      </w:r>
    </w:p>
  </w:footnote>
  <w:footnote w:type="continuationSeparator" w:id="0">
    <w:p w14:paraId="5E4C16BF" w14:textId="77777777" w:rsidR="00A357F6" w:rsidRDefault="00A357F6" w:rsidP="00A35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E0E"/>
    <w:multiLevelType w:val="hybridMultilevel"/>
    <w:tmpl w:val="88743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E24B3A"/>
    <w:multiLevelType w:val="hybridMultilevel"/>
    <w:tmpl w:val="53B4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26202"/>
    <w:multiLevelType w:val="hybridMultilevel"/>
    <w:tmpl w:val="41FA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E6107"/>
    <w:multiLevelType w:val="hybridMultilevel"/>
    <w:tmpl w:val="A8DC7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554745"/>
    <w:multiLevelType w:val="hybridMultilevel"/>
    <w:tmpl w:val="AEAEC652"/>
    <w:lvl w:ilvl="0" w:tplc="792E3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CD"/>
    <w:rsid w:val="00172E20"/>
    <w:rsid w:val="005502A4"/>
    <w:rsid w:val="00577706"/>
    <w:rsid w:val="00896C9F"/>
    <w:rsid w:val="008F6BCD"/>
    <w:rsid w:val="00934221"/>
    <w:rsid w:val="00A357F6"/>
    <w:rsid w:val="00ED4103"/>
    <w:rsid w:val="046E5E8E"/>
    <w:rsid w:val="41014DB5"/>
    <w:rsid w:val="45864940"/>
    <w:rsid w:val="4D5CA9C4"/>
    <w:rsid w:val="637A6DE6"/>
    <w:rsid w:val="6A7CB67E"/>
    <w:rsid w:val="6E2A40D0"/>
    <w:rsid w:val="7F66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78D6"/>
  <w15:chartTrackingRefBased/>
  <w15:docId w15:val="{2126FB42-EAC2-4046-ADCE-25C140B8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8F6BCD"/>
    <w:pPr>
      <w:suppressAutoHyphens/>
      <w:autoSpaceDN w:val="0"/>
      <w:spacing w:line="240" w:lineRule="auto"/>
      <w:ind w:left="720"/>
      <w:textAlignment w:val="baseline"/>
    </w:pPr>
    <w:rPr>
      <w:rFonts w:ascii="Calibri" w:eastAsia="Calibri" w:hAnsi="Calibri" w:cs="Times New Roman"/>
    </w:rPr>
  </w:style>
  <w:style w:type="paragraph" w:styleId="Header">
    <w:name w:val="header"/>
    <w:basedOn w:val="Normal"/>
    <w:link w:val="HeaderChar"/>
    <w:uiPriority w:val="99"/>
    <w:unhideWhenUsed/>
    <w:rsid w:val="00A3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F6"/>
  </w:style>
  <w:style w:type="paragraph" w:styleId="Footer">
    <w:name w:val="footer"/>
    <w:basedOn w:val="Normal"/>
    <w:link w:val="FooterChar"/>
    <w:uiPriority w:val="99"/>
    <w:unhideWhenUsed/>
    <w:rsid w:val="00A35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A5EF892C4D004197151A2330798AB3" ma:contentTypeVersion="12" ma:contentTypeDescription="Create a new document." ma:contentTypeScope="" ma:versionID="073362da4640ee1670fa1d18cbee7bbe">
  <xsd:schema xmlns:xsd="http://www.w3.org/2001/XMLSchema" xmlns:xs="http://www.w3.org/2001/XMLSchema" xmlns:p="http://schemas.microsoft.com/office/2006/metadata/properties" xmlns:ns3="1236fc81-14ca-4cb9-9934-0f5ea255ef4e" xmlns:ns4="d6176126-c590-4b29-90c6-5fb618c72815" targetNamespace="http://schemas.microsoft.com/office/2006/metadata/properties" ma:root="true" ma:fieldsID="6ae0832784a622c4f26de832e1b08f2f" ns3:_="" ns4:_="">
    <xsd:import namespace="1236fc81-14ca-4cb9-9934-0f5ea255ef4e"/>
    <xsd:import namespace="d6176126-c590-4b29-90c6-5fb618c728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6fc81-14ca-4cb9-9934-0f5ea255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76126-c590-4b29-90c6-5fb618c728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7F8CF-061A-4535-96AF-1FBC7C092115}">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1236fc81-14ca-4cb9-9934-0f5ea255ef4e"/>
    <ds:schemaRef ds:uri="http://purl.org/dc/terms/"/>
    <ds:schemaRef ds:uri="d6176126-c590-4b29-90c6-5fb618c72815"/>
    <ds:schemaRef ds:uri="http://www.w3.org/XML/1998/namespace"/>
  </ds:schemaRefs>
</ds:datastoreItem>
</file>

<file path=customXml/itemProps2.xml><?xml version="1.0" encoding="utf-8"?>
<ds:datastoreItem xmlns:ds="http://schemas.openxmlformats.org/officeDocument/2006/customXml" ds:itemID="{FCD22FC6-EAB7-4578-8855-AFECDE498302}">
  <ds:schemaRefs>
    <ds:schemaRef ds:uri="http://schemas.microsoft.com/sharepoint/v3/contenttype/forms"/>
  </ds:schemaRefs>
</ds:datastoreItem>
</file>

<file path=customXml/itemProps3.xml><?xml version="1.0" encoding="utf-8"?>
<ds:datastoreItem xmlns:ds="http://schemas.openxmlformats.org/officeDocument/2006/customXml" ds:itemID="{F449DBEB-584D-499B-BC0A-77E31B97D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6fc81-14ca-4cb9-9934-0f5ea255ef4e"/>
    <ds:schemaRef ds:uri="d6176126-c590-4b29-90c6-5fb618c72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Colbert</dc:creator>
  <cp:keywords/>
  <dc:description/>
  <cp:lastModifiedBy>Lisa Seaman</cp:lastModifiedBy>
  <cp:revision>2</cp:revision>
  <dcterms:created xsi:type="dcterms:W3CDTF">2020-07-27T07:45:00Z</dcterms:created>
  <dcterms:modified xsi:type="dcterms:W3CDTF">2020-07-27T07:45:00Z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0x0101004AA5EF892C4D004197151A2330798AB3</vt:lpwstr>
  </property>
</Properties>
</file>