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C615A8">
            <w:pPr>
              <w:rPr>
                <w:sz w:val="20"/>
                <w:szCs w:val="20"/>
              </w:rPr>
            </w:pPr>
            <w:r w:rsidRPr="00594492">
              <w:rPr>
                <w:b/>
                <w:sz w:val="20"/>
                <w:szCs w:val="20"/>
              </w:rPr>
              <w:t>Director/Service/Sector</w:t>
            </w:r>
            <w:r w:rsidR="00803277" w:rsidRPr="00594492">
              <w:rPr>
                <w:b/>
                <w:sz w:val="20"/>
                <w:szCs w:val="20"/>
              </w:rPr>
              <w:t xml:space="preserve">:  </w:t>
            </w:r>
            <w:r w:rsidR="00803277" w:rsidRPr="00594492">
              <w:rPr>
                <w:sz w:val="20"/>
                <w:szCs w:val="20"/>
              </w:rPr>
              <w:t>Community &amp; Environmental Services</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742F27" w:rsidRDefault="00CC7E7F" w:rsidP="00C615A8">
            <w:pPr>
              <w:rPr>
                <w:sz w:val="20"/>
                <w:szCs w:val="20"/>
              </w:rPr>
            </w:pPr>
            <w:r w:rsidRPr="00594492">
              <w:rPr>
                <w:b/>
                <w:sz w:val="20"/>
                <w:szCs w:val="20"/>
              </w:rPr>
              <w:t>JE ref:</w:t>
            </w:r>
            <w:r w:rsidR="00DB22C3">
              <w:rPr>
                <w:sz w:val="20"/>
                <w:szCs w:val="20"/>
              </w:rPr>
              <w:t xml:space="preserve"> SG</w:t>
            </w:r>
            <w:r w:rsidR="00742F27">
              <w:rPr>
                <w:sz w:val="20"/>
                <w:szCs w:val="20"/>
              </w:rPr>
              <w:t>40</w:t>
            </w:r>
          </w:p>
          <w:p w:rsidR="00CC7E7F" w:rsidRPr="00594492" w:rsidRDefault="00065D7E" w:rsidP="00C615A8">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00366"/>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4247E"/>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Helen Forster</cp:lastModifiedBy>
  <cp:revision>2</cp:revision>
  <cp:lastPrinted>2019-10-02T10:02:00Z</cp:lastPrinted>
  <dcterms:created xsi:type="dcterms:W3CDTF">2020-09-15T07:22:00Z</dcterms:created>
  <dcterms:modified xsi:type="dcterms:W3CDTF">2020-09-15T07:22:00Z</dcterms:modified>
</cp:coreProperties>
</file>