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763DA6" w:rsidRDefault="006C4774" w:rsidP="006C4774">
            <w:pPr>
              <w:tabs>
                <w:tab w:val="left" w:pos="2410"/>
              </w:tabs>
              <w:rPr>
                <w:rFonts w:cs="Arial"/>
                <w:bCs/>
              </w:rPr>
            </w:pPr>
            <w:r w:rsidRPr="006C4774">
              <w:rPr>
                <w:rFonts w:cs="Arial"/>
                <w:b/>
                <w:bCs/>
              </w:rPr>
              <w:t>Grade 9</w:t>
            </w:r>
            <w:r w:rsidRPr="006C4774">
              <w:rPr>
                <w:rFonts w:cs="Arial"/>
                <w:bCs/>
              </w:rPr>
              <w:t xml:space="preserve"> </w:t>
            </w:r>
            <w:r w:rsidR="00763DA6" w:rsidRPr="00266FAF">
              <w:rPr>
                <w:rFonts w:cs="Arial"/>
                <w:bCs/>
              </w:rPr>
              <w:t>Social Worker</w:t>
            </w:r>
            <w:r w:rsidR="00763DA6" w:rsidRPr="006C4774">
              <w:rPr>
                <w:rFonts w:cs="Arial"/>
                <w:bCs/>
              </w:rPr>
              <w:t xml:space="preserve"> </w:t>
            </w:r>
            <w:r w:rsidRPr="006C4774">
              <w:rPr>
                <w:rFonts w:cs="Arial"/>
                <w:bCs/>
              </w:rPr>
              <w:t>Pre-Progression</w:t>
            </w:r>
            <w:r>
              <w:rPr>
                <w:rFonts w:cs="Arial"/>
                <w:bCs/>
              </w:rPr>
              <w:t xml:space="preserve"> </w:t>
            </w:r>
          </w:p>
          <w:p w:rsidR="00763DA6" w:rsidRDefault="00763DA6" w:rsidP="006C4774">
            <w:pPr>
              <w:tabs>
                <w:tab w:val="left" w:pos="2410"/>
              </w:tabs>
              <w:rPr>
                <w:rFonts w:cs="Arial"/>
                <w:bCs/>
              </w:rPr>
            </w:pPr>
          </w:p>
          <w:p w:rsidR="00763DA6" w:rsidRDefault="006C4774" w:rsidP="00763DA6">
            <w:pPr>
              <w:rPr>
                <w:rFonts w:cs="Arial"/>
                <w:bCs/>
              </w:rPr>
            </w:pPr>
            <w:r w:rsidRPr="006C4774">
              <w:rPr>
                <w:rFonts w:cs="Arial"/>
                <w:b/>
                <w:bCs/>
              </w:rPr>
              <w:t>Grade 11</w:t>
            </w:r>
            <w:r>
              <w:rPr>
                <w:rFonts w:cs="Arial"/>
                <w:bCs/>
              </w:rPr>
              <w:t xml:space="preserve"> </w:t>
            </w:r>
            <w:r w:rsidR="00763DA6" w:rsidRPr="00266FAF">
              <w:rPr>
                <w:rFonts w:cs="Arial"/>
                <w:bCs/>
              </w:rPr>
              <w:t>Senior Social Worker</w:t>
            </w:r>
            <w:r w:rsidR="00763DA6" w:rsidRPr="006C4774">
              <w:rPr>
                <w:rFonts w:cs="Arial"/>
                <w:bCs/>
              </w:rPr>
              <w:t xml:space="preserve"> </w:t>
            </w:r>
            <w:r w:rsidRPr="006C4774">
              <w:rPr>
                <w:rFonts w:cs="Arial"/>
                <w:bCs/>
              </w:rPr>
              <w:t>Post-Progression</w:t>
            </w:r>
            <w:r w:rsidR="00763DA6">
              <w:rPr>
                <w:rFonts w:cs="Arial"/>
                <w:bCs/>
              </w:rPr>
              <w:t xml:space="preserve"> </w:t>
            </w:r>
          </w:p>
          <w:p w:rsidR="00763DA6" w:rsidRDefault="00763DA6" w:rsidP="00763DA6">
            <w:pPr>
              <w:rPr>
                <w:rFonts w:cs="Arial"/>
                <w:bCs/>
              </w:rPr>
            </w:pPr>
          </w:p>
          <w:p w:rsidR="006C4774" w:rsidRDefault="00763DA6" w:rsidP="00A45DBF">
            <w:pPr>
              <w:rPr>
                <w:rFonts w:cs="Arial"/>
                <w:bCs/>
              </w:rPr>
            </w:pPr>
            <w:r w:rsidRPr="00266FAF">
              <w:rPr>
                <w:rFonts w:cs="Arial"/>
                <w:bCs/>
              </w:rPr>
              <w:t xml:space="preserve">Plus £2,500 </w:t>
            </w:r>
            <w:bookmarkStart w:id="0" w:name="_GoBack"/>
            <w:bookmarkEnd w:id="0"/>
            <w:r w:rsidRPr="00266FAF">
              <w:rPr>
                <w:rFonts w:cs="Arial"/>
                <w:bCs/>
              </w:rPr>
              <w:t xml:space="preserve">temporary recruitment/retention allowance in Families First Teams </w:t>
            </w:r>
            <w:r w:rsidR="00A45DBF">
              <w:rPr>
                <w:rFonts w:cs="Arial"/>
                <w:bCs/>
              </w:rPr>
              <w:t xml:space="preserve">which is </w:t>
            </w:r>
            <w:r w:rsidR="00A45DBF" w:rsidRPr="00A45DBF">
              <w:rPr>
                <w:rFonts w:cs="Arial"/>
                <w:bCs/>
              </w:rPr>
              <w:t xml:space="preserve">paid to </w:t>
            </w:r>
            <w:r w:rsidR="00A45DBF">
              <w:rPr>
                <w:rFonts w:cs="Arial"/>
                <w:bCs/>
              </w:rPr>
              <w:t>So</w:t>
            </w:r>
            <w:r w:rsidR="00A45DBF" w:rsidRPr="00A45DBF">
              <w:rPr>
                <w:rFonts w:cs="Arial"/>
                <w:bCs/>
              </w:rPr>
              <w:t xml:space="preserve">cial </w:t>
            </w:r>
            <w:r w:rsidR="00A45DBF">
              <w:rPr>
                <w:rFonts w:cs="Arial"/>
                <w:bCs/>
              </w:rPr>
              <w:t>W</w:t>
            </w:r>
            <w:r w:rsidR="00A45DBF" w:rsidRPr="00A45DBF">
              <w:rPr>
                <w:rFonts w:cs="Arial"/>
                <w:bCs/>
              </w:rPr>
              <w:t>orkers post-ASYE</w:t>
            </w:r>
            <w:r w:rsidR="00A45DBF">
              <w:rPr>
                <w:rFonts w:cs="Arial"/>
                <w:bCs/>
              </w:rPr>
              <w:t xml:space="preserve"> only</w:t>
            </w:r>
          </w:p>
          <w:p w:rsidR="00A45DBF" w:rsidRPr="006C4774" w:rsidRDefault="00A45DBF" w:rsidP="00A45DBF">
            <w:pPr>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763DA6" w:rsidRDefault="00763DA6" w:rsidP="00D70625">
            <w:pPr>
              <w:rPr>
                <w:rFonts w:cs="Arial"/>
                <w:szCs w:val="24"/>
              </w:rPr>
            </w:pPr>
          </w:p>
          <w:p w:rsidR="00845787"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p w:rsidR="00763DA6" w:rsidRPr="00E14818" w:rsidRDefault="00763DA6" w:rsidP="00D70625">
            <w:pPr>
              <w:rPr>
                <w:rFonts w:cs="Arial"/>
                <w:szCs w:val="24"/>
              </w:rPr>
            </w:pP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EB0019" w:rsidRPr="00C676CB" w:rsidRDefault="00EB0019"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763DA6" w:rsidRDefault="00763DA6"/>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lastRenderedPageBreak/>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Default="009304EC" w:rsidP="007E5CDE">
      <w:pPr>
        <w:pStyle w:val="ListParagraph"/>
        <w:numPr>
          <w:ilvl w:val="0"/>
          <w:numId w:val="21"/>
        </w:numPr>
        <w:ind w:left="360"/>
        <w:rPr>
          <w:rFonts w:cs="Arial"/>
          <w:szCs w:val="24"/>
        </w:rPr>
      </w:pPr>
      <w:r w:rsidRPr="009304EC">
        <w:rPr>
          <w:rFonts w:cs="Arial"/>
          <w:szCs w:val="24"/>
        </w:rPr>
        <w:lastRenderedPageBreak/>
        <w:t xml:space="preserve">Maintain registration with Social Work England and adhere to the Social Work England standards of conduct, performance and ethics, and standards for continuing professional development.  </w:t>
      </w:r>
    </w:p>
    <w:p w:rsidR="009304EC" w:rsidRPr="009304EC" w:rsidRDefault="009304EC" w:rsidP="009304EC">
      <w:pPr>
        <w:pStyle w:val="ListParagraph"/>
        <w:rPr>
          <w:rFonts w:cs="Arial"/>
          <w:szCs w:val="24"/>
        </w:rPr>
      </w:pPr>
    </w:p>
    <w:p w:rsidR="00681A84" w:rsidRPr="00EB0019" w:rsidRDefault="00EB0019" w:rsidP="00EB0019">
      <w:pPr>
        <w:rPr>
          <w:rFonts w:cs="Arial"/>
          <w:b/>
          <w:szCs w:val="24"/>
        </w:rPr>
      </w:pPr>
      <w:r w:rsidRPr="00EB0019">
        <w:rPr>
          <w:rFonts w:cs="Arial"/>
          <w:szCs w:val="24"/>
        </w:rPr>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763DA6" w:rsidRDefault="00763DA6" w:rsidP="003F5F22">
      <w:pPr>
        <w:pStyle w:val="ListParagraph"/>
        <w:ind w:left="567"/>
        <w:rPr>
          <w:rFonts w:cs="Arial"/>
          <w:szCs w:val="24"/>
        </w:rPr>
      </w:pPr>
    </w:p>
    <w:p w:rsidR="00763DA6" w:rsidRDefault="00763DA6"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9C7475">
            <w:pPr>
              <w:pStyle w:val="ListParagraph"/>
              <w:numPr>
                <w:ilvl w:val="0"/>
                <w:numId w:val="23"/>
              </w:numPr>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(PDDipSW) Certificate of Qualification in Social Work (CQSW), Diploma in Social Work (DipSW),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9C7475" w:rsidRDefault="009C7475" w:rsidP="009C7475">
            <w:pPr>
              <w:pStyle w:val="ListParagraph"/>
              <w:numPr>
                <w:ilvl w:val="0"/>
                <w:numId w:val="23"/>
              </w:numPr>
              <w:rPr>
                <w:rFonts w:cs="Arial"/>
              </w:rPr>
            </w:pPr>
            <w:r>
              <w:rPr>
                <w:rFonts w:cs="Arial"/>
              </w:rPr>
              <w:t>Current Social Work England Registration</w:t>
            </w:r>
          </w:p>
          <w:p w:rsidR="00967BB8" w:rsidRPr="00A96772" w:rsidRDefault="00967BB8" w:rsidP="009C7475">
            <w:pPr>
              <w:pStyle w:val="ListParagraph"/>
              <w:ind w:left="360"/>
              <w:rPr>
                <w:rFonts w:cs="Arial"/>
                <w:sz w:val="22"/>
              </w:rPr>
            </w:pPr>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04EC"/>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60AF3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FE15998-D24E-4902-A5FA-3192B541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27</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10623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12</cp:revision>
  <cp:lastPrinted>2018-08-31T10:37:00Z</cp:lastPrinted>
  <dcterms:created xsi:type="dcterms:W3CDTF">2019-11-20T12:40:00Z</dcterms:created>
  <dcterms:modified xsi:type="dcterms:W3CDTF">2020-09-23T11:49:00Z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