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Oak Learning Trust</w:t>
      </w:r>
    </w:p>
    <w:p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Person Specification: Class Teacher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0"/>
        <w:gridCol w:w="5964"/>
        <w:gridCol w:w="3984"/>
        <w:gridCol w:w="3760"/>
      </w:tblGrid>
      <w:tr>
        <w:tc>
          <w:tcPr>
            <w:tcW w:w="1680" w:type="dxa"/>
            <w:vMerge w:val="restart"/>
            <w:shd w:val="clear" w:color="auto" w:fill="C2D69B" w:themeFill="accent3" w:themeFillTint="99"/>
          </w:tcPr>
          <w:p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Area</w:t>
            </w:r>
          </w:p>
          <w:p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9948" w:type="dxa"/>
            <w:gridSpan w:val="2"/>
            <w:shd w:val="clear" w:color="auto" w:fill="C2D69B" w:themeFill="accent3" w:themeFillTint="99"/>
          </w:tcPr>
          <w:p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Criteria</w:t>
            </w:r>
          </w:p>
        </w:tc>
        <w:tc>
          <w:tcPr>
            <w:tcW w:w="3760" w:type="dxa"/>
            <w:vMerge w:val="restart"/>
            <w:shd w:val="clear" w:color="auto" w:fill="C2D69B" w:themeFill="accent3" w:themeFillTint="99"/>
          </w:tcPr>
          <w:p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Evidence</w:t>
            </w:r>
          </w:p>
        </w:tc>
      </w:tr>
      <w:tr>
        <w:tc>
          <w:tcPr>
            <w:tcW w:w="1680" w:type="dxa"/>
            <w:vMerge/>
            <w:shd w:val="clear" w:color="auto" w:fill="C2D69B" w:themeFill="accent3" w:themeFillTint="99"/>
          </w:tcPr>
          <w:p>
            <w:pPr>
              <w:rPr>
                <w:b/>
              </w:rPr>
            </w:pPr>
          </w:p>
        </w:tc>
        <w:tc>
          <w:tcPr>
            <w:tcW w:w="5964" w:type="dxa"/>
            <w:shd w:val="clear" w:color="auto" w:fill="C2D69B" w:themeFill="accent3" w:themeFillTint="99"/>
          </w:tcPr>
          <w:p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Essential</w:t>
            </w:r>
          </w:p>
        </w:tc>
        <w:tc>
          <w:tcPr>
            <w:tcW w:w="3984" w:type="dxa"/>
            <w:shd w:val="clear" w:color="auto" w:fill="C2D69B" w:themeFill="accent3" w:themeFillTint="99"/>
          </w:tcPr>
          <w:p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Desirable</w:t>
            </w:r>
          </w:p>
        </w:tc>
        <w:tc>
          <w:tcPr>
            <w:tcW w:w="3760" w:type="dxa"/>
            <w:vMerge/>
            <w:shd w:val="clear" w:color="auto" w:fill="C2D69B" w:themeFill="accent3" w:themeFillTint="99"/>
          </w:tcPr>
          <w:p>
            <w:pPr>
              <w:rPr>
                <w:b/>
              </w:rPr>
            </w:pPr>
          </w:p>
        </w:tc>
      </w:tr>
      <w:tr>
        <w:trPr>
          <w:trHeight w:val="834"/>
        </w:trPr>
        <w:tc>
          <w:tcPr>
            <w:tcW w:w="1680" w:type="dxa"/>
            <w:shd w:val="clear" w:color="auto" w:fill="C2D69B" w:themeFill="accent3" w:themeFillTint="99"/>
          </w:tcPr>
          <w:p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Qualifications</w:t>
            </w:r>
          </w:p>
        </w:tc>
        <w:tc>
          <w:tcPr>
            <w:tcW w:w="5964" w:type="dxa"/>
          </w:tcPr>
          <w:p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Qualified Teacher Status</w:t>
            </w:r>
          </w:p>
          <w:p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Educated to degree level</w:t>
            </w:r>
          </w:p>
        </w:tc>
        <w:tc>
          <w:tcPr>
            <w:tcW w:w="3984" w:type="dxa"/>
          </w:tcPr>
          <w:p>
            <w:pPr>
              <w:pStyle w:val="ListParagraph"/>
              <w:rPr>
                <w:rFonts w:ascii="Comic Sans MS" w:hAnsi="Comic Sans MS"/>
              </w:rPr>
            </w:pPr>
          </w:p>
        </w:tc>
        <w:tc>
          <w:tcPr>
            <w:tcW w:w="3760" w:type="dxa"/>
          </w:tcPr>
          <w:p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Application</w:t>
            </w:r>
          </w:p>
          <w:p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Application</w:t>
            </w:r>
          </w:p>
        </w:tc>
      </w:tr>
      <w:tr>
        <w:trPr>
          <w:trHeight w:val="2390"/>
        </w:trPr>
        <w:tc>
          <w:tcPr>
            <w:tcW w:w="1680" w:type="dxa"/>
            <w:shd w:val="clear" w:color="auto" w:fill="C2D69B" w:themeFill="accent3" w:themeFillTint="99"/>
          </w:tcPr>
          <w:p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Experience</w:t>
            </w:r>
          </w:p>
          <w:p>
            <w:pPr>
              <w:rPr>
                <w:rFonts w:ascii="Comic Sans MS" w:hAnsi="Comic Sans MS"/>
              </w:rPr>
            </w:pPr>
          </w:p>
          <w:p>
            <w:pPr>
              <w:rPr>
                <w:rFonts w:ascii="Comic Sans MS" w:hAnsi="Comic Sans MS"/>
              </w:rPr>
            </w:pPr>
          </w:p>
          <w:p>
            <w:pPr>
              <w:rPr>
                <w:rFonts w:ascii="Comic Sans MS" w:hAnsi="Comic Sans MS"/>
              </w:rPr>
            </w:pPr>
          </w:p>
          <w:p>
            <w:pPr>
              <w:rPr>
                <w:rFonts w:ascii="Comic Sans MS" w:hAnsi="Comic Sans MS"/>
              </w:rPr>
            </w:pPr>
          </w:p>
          <w:p>
            <w:pPr>
              <w:rPr>
                <w:rFonts w:ascii="Comic Sans MS" w:hAnsi="Comic Sans MS"/>
              </w:rPr>
            </w:pPr>
          </w:p>
        </w:tc>
        <w:tc>
          <w:tcPr>
            <w:tcW w:w="5964" w:type="dxa"/>
          </w:tcPr>
          <w:p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Experience in key stage one </w:t>
            </w:r>
          </w:p>
          <w:p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Outstanding teaching skills with a passion for learning</w:t>
            </w:r>
          </w:p>
          <w:p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Use of the National Curriculum to engage and motivate pupils and raise standards</w:t>
            </w:r>
          </w:p>
          <w:p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Adapting the curriculum to meet the needs of all learners</w:t>
            </w:r>
          </w:p>
          <w:p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Using a wide range of resources to meet the needs of learners </w:t>
            </w:r>
          </w:p>
          <w:p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Experience in the use of assessment to improve pupil progress</w:t>
            </w:r>
          </w:p>
          <w:p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Accountability for and proven track record of raising pupil progress and attainment</w:t>
            </w:r>
          </w:p>
          <w:p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Developing the whole child through interest, involvement and nurture. </w:t>
            </w:r>
          </w:p>
          <w:p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Developing parental relationships to support learning</w:t>
            </w:r>
          </w:p>
          <w:p>
            <w:pPr>
              <w:pStyle w:val="ListParagraph"/>
              <w:rPr>
                <w:rFonts w:ascii="Comic Sans MS" w:hAnsi="Comic Sans MS"/>
              </w:rPr>
            </w:pPr>
          </w:p>
        </w:tc>
        <w:tc>
          <w:tcPr>
            <w:tcW w:w="3984" w:type="dxa"/>
          </w:tcPr>
          <w:p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 interest in forest school initiatives and activities</w:t>
            </w:r>
          </w:p>
          <w:p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Involvement in innovative curriculum developments related to SEN</w:t>
            </w:r>
          </w:p>
          <w:p>
            <w:pPr>
              <w:pStyle w:val="ListParagraph"/>
              <w:rPr>
                <w:rFonts w:ascii="Comic Sans MS" w:hAnsi="Comic Sans MS"/>
              </w:rPr>
            </w:pPr>
          </w:p>
        </w:tc>
        <w:tc>
          <w:tcPr>
            <w:tcW w:w="3760" w:type="dxa"/>
          </w:tcPr>
          <w:p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Application</w:t>
            </w:r>
          </w:p>
          <w:p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Application/lesson observation/references/interview</w:t>
            </w:r>
          </w:p>
          <w:p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Application/interview</w:t>
            </w:r>
          </w:p>
          <w:p>
            <w:pPr>
              <w:rPr>
                <w:rFonts w:ascii="Comic Sans MS" w:hAnsi="Comic Sans MS"/>
              </w:rPr>
            </w:pPr>
          </w:p>
          <w:p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Lesson observation/interview</w:t>
            </w:r>
          </w:p>
          <w:p>
            <w:pPr>
              <w:rPr>
                <w:rFonts w:ascii="Comic Sans MS" w:hAnsi="Comic Sans MS"/>
              </w:rPr>
            </w:pPr>
          </w:p>
          <w:p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Application/Interview/References</w:t>
            </w:r>
          </w:p>
        </w:tc>
      </w:tr>
      <w:tr>
        <w:tc>
          <w:tcPr>
            <w:tcW w:w="1680" w:type="dxa"/>
            <w:shd w:val="clear" w:color="auto" w:fill="C2D69B" w:themeFill="accent3" w:themeFillTint="99"/>
          </w:tcPr>
          <w:p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Knowledge</w:t>
            </w:r>
          </w:p>
          <w:p>
            <w:pPr>
              <w:rPr>
                <w:rFonts w:ascii="Comic Sans MS" w:hAnsi="Comic Sans MS"/>
              </w:rPr>
            </w:pPr>
          </w:p>
          <w:p>
            <w:pPr>
              <w:rPr>
                <w:rFonts w:ascii="Comic Sans MS" w:hAnsi="Comic Sans MS"/>
              </w:rPr>
            </w:pPr>
          </w:p>
          <w:p>
            <w:pPr>
              <w:rPr>
                <w:rFonts w:ascii="Comic Sans MS" w:hAnsi="Comic Sans MS"/>
              </w:rPr>
            </w:pPr>
          </w:p>
          <w:p>
            <w:pPr>
              <w:rPr>
                <w:rFonts w:ascii="Comic Sans MS" w:hAnsi="Comic Sans MS"/>
              </w:rPr>
            </w:pPr>
          </w:p>
          <w:p>
            <w:pPr>
              <w:rPr>
                <w:rFonts w:ascii="Comic Sans MS" w:hAnsi="Comic Sans MS"/>
              </w:rPr>
            </w:pPr>
          </w:p>
          <w:p>
            <w:pPr>
              <w:rPr>
                <w:rFonts w:ascii="Comic Sans MS" w:hAnsi="Comic Sans MS"/>
              </w:rPr>
            </w:pPr>
          </w:p>
          <w:p>
            <w:pPr>
              <w:rPr>
                <w:rFonts w:ascii="Comic Sans MS" w:hAnsi="Comic Sans MS"/>
              </w:rPr>
            </w:pPr>
          </w:p>
          <w:p>
            <w:pPr>
              <w:rPr>
                <w:rFonts w:ascii="Comic Sans MS" w:hAnsi="Comic Sans MS"/>
              </w:rPr>
            </w:pPr>
          </w:p>
          <w:p>
            <w:pPr>
              <w:rPr>
                <w:rFonts w:ascii="Comic Sans MS" w:hAnsi="Comic Sans MS"/>
              </w:rPr>
            </w:pPr>
          </w:p>
        </w:tc>
        <w:tc>
          <w:tcPr>
            <w:tcW w:w="5964" w:type="dxa"/>
          </w:tcPr>
          <w:p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Knowledge of the National Curriculum and the ability to be creative in developing the curriculum to meet the needs of all pupils</w:t>
            </w:r>
          </w:p>
          <w:p>
            <w:pPr>
              <w:pStyle w:val="ListParagraph"/>
              <w:rPr>
                <w:rFonts w:ascii="Comic Sans MS" w:hAnsi="Comic Sans MS"/>
              </w:rPr>
            </w:pPr>
          </w:p>
          <w:p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Understanding and  knowledge of how the curriculum can be adapted to meet the needs of pupils with SEN</w:t>
            </w:r>
          </w:p>
          <w:p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Understanding of how different types of assessment contribute to pupil progress</w:t>
            </w:r>
          </w:p>
          <w:p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 good understanding of the essential components of effective teaching and learning</w:t>
            </w:r>
          </w:p>
          <w:p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Knowledge of safeguarding and child protection issues </w:t>
            </w:r>
          </w:p>
          <w:p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Knowledge and understanding of key stage one statutory assessments</w:t>
            </w:r>
          </w:p>
          <w:p>
            <w:pPr>
              <w:pStyle w:val="ListParagraph"/>
              <w:rPr>
                <w:rFonts w:ascii="Comic Sans MS" w:hAnsi="Comic Sans MS"/>
              </w:rPr>
            </w:pPr>
          </w:p>
        </w:tc>
        <w:tc>
          <w:tcPr>
            <w:tcW w:w="3984" w:type="dxa"/>
          </w:tcPr>
          <w:p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A good understanding of learning outside of the classroom</w:t>
            </w:r>
          </w:p>
          <w:p>
            <w:pPr>
              <w:pStyle w:val="ListParagraph"/>
              <w:rPr>
                <w:rFonts w:ascii="Comic Sans MS" w:hAnsi="Comic Sans MS"/>
              </w:rPr>
            </w:pPr>
          </w:p>
        </w:tc>
        <w:tc>
          <w:tcPr>
            <w:tcW w:w="3760" w:type="dxa"/>
          </w:tcPr>
          <w:p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Application/Interview</w:t>
            </w:r>
          </w:p>
          <w:p>
            <w:pPr>
              <w:rPr>
                <w:rFonts w:ascii="Comic Sans MS" w:hAnsi="Comic Sans MS"/>
              </w:rPr>
            </w:pPr>
          </w:p>
          <w:p>
            <w:pPr>
              <w:rPr>
                <w:rFonts w:ascii="Comic Sans MS" w:hAnsi="Comic Sans MS"/>
              </w:rPr>
            </w:pPr>
          </w:p>
          <w:p>
            <w:pPr>
              <w:rPr>
                <w:rFonts w:ascii="Comic Sans MS" w:hAnsi="Comic Sans MS"/>
              </w:rPr>
            </w:pPr>
          </w:p>
          <w:p>
            <w:pPr>
              <w:rPr>
                <w:rFonts w:ascii="Comic Sans MS" w:hAnsi="Comic Sans MS"/>
              </w:rPr>
            </w:pPr>
          </w:p>
          <w:p>
            <w:pPr>
              <w:rPr>
                <w:rFonts w:ascii="Comic Sans MS" w:hAnsi="Comic Sans MS"/>
              </w:rPr>
            </w:pPr>
          </w:p>
          <w:p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Application/lesson observation/Interview</w:t>
            </w:r>
          </w:p>
          <w:p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Application/Interview</w:t>
            </w:r>
          </w:p>
          <w:p>
            <w:pPr>
              <w:rPr>
                <w:rFonts w:ascii="Comic Sans MS" w:hAnsi="Comic Sans MS"/>
              </w:rPr>
            </w:pPr>
          </w:p>
          <w:p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Application/Interview/References</w:t>
            </w:r>
          </w:p>
          <w:p>
            <w:pPr>
              <w:rPr>
                <w:rFonts w:ascii="Comic Sans MS" w:hAnsi="Comic Sans MS"/>
              </w:rPr>
            </w:pPr>
          </w:p>
          <w:p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Application/Interview</w:t>
            </w:r>
          </w:p>
        </w:tc>
      </w:tr>
      <w:tr>
        <w:tc>
          <w:tcPr>
            <w:tcW w:w="1680" w:type="dxa"/>
            <w:shd w:val="clear" w:color="auto" w:fill="C2D69B" w:themeFill="accent3" w:themeFillTint="99"/>
          </w:tcPr>
          <w:p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lastRenderedPageBreak/>
              <w:t>Skills and Aptitude</w:t>
            </w:r>
          </w:p>
          <w:p>
            <w:pPr>
              <w:rPr>
                <w:rFonts w:ascii="Comic Sans MS" w:hAnsi="Comic Sans MS"/>
              </w:rPr>
            </w:pPr>
          </w:p>
          <w:p>
            <w:pPr>
              <w:rPr>
                <w:rFonts w:ascii="Comic Sans MS" w:hAnsi="Comic Sans MS"/>
              </w:rPr>
            </w:pPr>
          </w:p>
          <w:p>
            <w:pPr>
              <w:rPr>
                <w:rFonts w:ascii="Comic Sans MS" w:hAnsi="Comic Sans MS"/>
              </w:rPr>
            </w:pPr>
          </w:p>
          <w:p>
            <w:pPr>
              <w:rPr>
                <w:rFonts w:ascii="Comic Sans MS" w:hAnsi="Comic Sans MS"/>
              </w:rPr>
            </w:pPr>
          </w:p>
          <w:p>
            <w:pPr>
              <w:rPr>
                <w:rFonts w:ascii="Comic Sans MS" w:hAnsi="Comic Sans MS"/>
              </w:rPr>
            </w:pPr>
          </w:p>
        </w:tc>
        <w:tc>
          <w:tcPr>
            <w:tcW w:w="5964" w:type="dxa"/>
          </w:tcPr>
          <w:p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Ability to:</w:t>
            </w:r>
          </w:p>
          <w:p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Support the development of outstanding practice within school</w:t>
            </w:r>
          </w:p>
          <w:p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Analyse pupil data, evaluate performance and plan for improvements in pupil outcomes</w:t>
            </w:r>
          </w:p>
          <w:p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Provide feedback to pupils to allow them to improve</w:t>
            </w:r>
          </w:p>
          <w:p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Create a stimulating learning environment</w:t>
            </w:r>
          </w:p>
          <w:p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Build strong positive relationships with pupils which allow them to thrive</w:t>
            </w:r>
          </w:p>
          <w:p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Develop good and effective working relationships with all relevant school partners</w:t>
            </w:r>
          </w:p>
          <w:p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Work effectively under pressure</w:t>
            </w:r>
          </w:p>
          <w:p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Communicate effectively, using a variety of means, to a wide range of audiences</w:t>
            </w:r>
          </w:p>
          <w:p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Support colleagues through positive, effective team working</w:t>
            </w:r>
          </w:p>
          <w:p>
            <w:pPr>
              <w:rPr>
                <w:rFonts w:ascii="Comic Sans MS" w:hAnsi="Comic Sans MS"/>
              </w:rPr>
            </w:pPr>
            <w:bookmarkStart w:id="0" w:name="_GoBack"/>
            <w:bookmarkEnd w:id="0"/>
          </w:p>
        </w:tc>
        <w:tc>
          <w:tcPr>
            <w:tcW w:w="3984" w:type="dxa"/>
          </w:tcPr>
          <w:p>
            <w:pPr>
              <w:rPr>
                <w:rFonts w:ascii="Comic Sans MS" w:hAnsi="Comic Sans MS"/>
              </w:rPr>
            </w:pPr>
          </w:p>
        </w:tc>
        <w:tc>
          <w:tcPr>
            <w:tcW w:w="3760" w:type="dxa"/>
          </w:tcPr>
          <w:p>
            <w:pPr>
              <w:rPr>
                <w:rFonts w:ascii="Comic Sans MS" w:hAnsi="Comic Sans MS"/>
              </w:rPr>
            </w:pPr>
          </w:p>
          <w:p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Application/Interview</w:t>
            </w:r>
          </w:p>
          <w:p>
            <w:pPr>
              <w:rPr>
                <w:rFonts w:ascii="Comic Sans MS" w:hAnsi="Comic Sans MS"/>
              </w:rPr>
            </w:pPr>
          </w:p>
          <w:p>
            <w:pPr>
              <w:rPr>
                <w:rFonts w:ascii="Comic Sans MS" w:hAnsi="Comic Sans MS"/>
              </w:rPr>
            </w:pPr>
          </w:p>
          <w:p>
            <w:pPr>
              <w:rPr>
                <w:rFonts w:ascii="Comic Sans MS" w:hAnsi="Comic Sans MS"/>
              </w:rPr>
            </w:pPr>
          </w:p>
          <w:p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Application/ Lesson observation /Interview/References</w:t>
            </w:r>
          </w:p>
          <w:p>
            <w:pPr>
              <w:rPr>
                <w:rFonts w:ascii="Comic Sans MS" w:hAnsi="Comic Sans MS"/>
              </w:rPr>
            </w:pPr>
          </w:p>
          <w:p>
            <w:pPr>
              <w:rPr>
                <w:rFonts w:ascii="Comic Sans MS" w:hAnsi="Comic Sans MS"/>
              </w:rPr>
            </w:pPr>
          </w:p>
          <w:p>
            <w:pPr>
              <w:rPr>
                <w:rFonts w:ascii="Comic Sans MS" w:hAnsi="Comic Sans MS"/>
              </w:rPr>
            </w:pPr>
          </w:p>
          <w:p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Application/Interview/References</w:t>
            </w:r>
          </w:p>
          <w:p>
            <w:pPr>
              <w:rPr>
                <w:rFonts w:ascii="Comic Sans MS" w:hAnsi="Comic Sans MS"/>
              </w:rPr>
            </w:pPr>
          </w:p>
          <w:p>
            <w:pPr>
              <w:rPr>
                <w:rFonts w:ascii="Comic Sans MS" w:hAnsi="Comic Sans MS"/>
              </w:rPr>
            </w:pPr>
          </w:p>
        </w:tc>
      </w:tr>
      <w:tr>
        <w:tc>
          <w:tcPr>
            <w:tcW w:w="1680" w:type="dxa"/>
            <w:shd w:val="clear" w:color="auto" w:fill="C2D69B" w:themeFill="accent3" w:themeFillTint="99"/>
          </w:tcPr>
          <w:p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lastRenderedPageBreak/>
              <w:t>Commitment and attributes</w:t>
            </w:r>
          </w:p>
          <w:p>
            <w:pPr>
              <w:rPr>
                <w:rFonts w:ascii="Comic Sans MS" w:hAnsi="Comic Sans MS"/>
                <w:b/>
              </w:rPr>
            </w:pPr>
          </w:p>
          <w:p>
            <w:pPr>
              <w:rPr>
                <w:rFonts w:ascii="Comic Sans MS" w:hAnsi="Comic Sans MS"/>
                <w:b/>
              </w:rPr>
            </w:pPr>
          </w:p>
          <w:p>
            <w:pPr>
              <w:rPr>
                <w:rFonts w:ascii="Comic Sans MS" w:hAnsi="Comic Sans MS"/>
                <w:b/>
              </w:rPr>
            </w:pPr>
          </w:p>
        </w:tc>
        <w:tc>
          <w:tcPr>
            <w:tcW w:w="5964" w:type="dxa"/>
          </w:tcPr>
          <w:p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Ambition and drive for pupil and school improvement</w:t>
            </w:r>
          </w:p>
          <w:p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Creativity, energy and enthusiasm</w:t>
            </w:r>
          </w:p>
          <w:p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Contribute to the school’s role within the community</w:t>
            </w:r>
          </w:p>
          <w:p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Flexible with a good sense of humour</w:t>
            </w:r>
          </w:p>
          <w:p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Promote the school’s vision and ethos</w:t>
            </w:r>
          </w:p>
          <w:p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Positive approach to all aspects of school life</w:t>
            </w:r>
          </w:p>
          <w:p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Committed to continuous personal and professional development</w:t>
            </w:r>
          </w:p>
          <w:p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Engage in school’s extracurricular activities (</w:t>
            </w:r>
            <w:proofErr w:type="spellStart"/>
            <w:r>
              <w:rPr>
                <w:rFonts w:ascii="Comic Sans MS" w:hAnsi="Comic Sans MS"/>
              </w:rPr>
              <w:t>eg</w:t>
            </w:r>
            <w:proofErr w:type="spellEnd"/>
            <w:r>
              <w:rPr>
                <w:rFonts w:ascii="Comic Sans MS" w:hAnsi="Comic Sans MS"/>
              </w:rPr>
              <w:t xml:space="preserve">. discos, school fairs </w:t>
            </w:r>
            <w:proofErr w:type="spellStart"/>
            <w:r>
              <w:rPr>
                <w:rFonts w:ascii="Comic Sans MS" w:hAnsi="Comic Sans MS"/>
              </w:rPr>
              <w:t>etc</w:t>
            </w:r>
            <w:proofErr w:type="spellEnd"/>
            <w:r>
              <w:rPr>
                <w:rFonts w:ascii="Comic Sans MS" w:hAnsi="Comic Sans MS"/>
              </w:rPr>
              <w:t>)</w:t>
            </w:r>
          </w:p>
          <w:p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Good relationships with all stakeholders</w:t>
            </w:r>
          </w:p>
        </w:tc>
        <w:tc>
          <w:tcPr>
            <w:tcW w:w="3984" w:type="dxa"/>
          </w:tcPr>
          <w:p>
            <w:pPr>
              <w:pStyle w:val="ListParagraph"/>
              <w:rPr>
                <w:rFonts w:ascii="Comic Sans MS" w:hAnsi="Comic Sans MS"/>
              </w:rPr>
            </w:pPr>
          </w:p>
        </w:tc>
        <w:tc>
          <w:tcPr>
            <w:tcW w:w="3760" w:type="dxa"/>
          </w:tcPr>
          <w:p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Application/Interview</w:t>
            </w:r>
          </w:p>
          <w:p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Lesson observation/interview</w:t>
            </w:r>
          </w:p>
          <w:p>
            <w:pPr>
              <w:rPr>
                <w:rFonts w:ascii="Comic Sans MS" w:hAnsi="Comic Sans MS"/>
              </w:rPr>
            </w:pPr>
          </w:p>
          <w:p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Application/Interview</w:t>
            </w:r>
          </w:p>
          <w:p>
            <w:pPr>
              <w:rPr>
                <w:rFonts w:ascii="Comic Sans MS" w:hAnsi="Comic Sans MS"/>
              </w:rPr>
            </w:pPr>
          </w:p>
          <w:p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Lesson observation/interview</w:t>
            </w:r>
          </w:p>
          <w:p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Interview</w:t>
            </w:r>
          </w:p>
          <w:p>
            <w:pPr>
              <w:rPr>
                <w:rFonts w:ascii="Comic Sans MS" w:hAnsi="Comic Sans MS"/>
              </w:rPr>
            </w:pPr>
          </w:p>
          <w:p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Application/Interview</w:t>
            </w:r>
          </w:p>
          <w:p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Application/Interview</w:t>
            </w:r>
          </w:p>
          <w:p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Application/Interview</w:t>
            </w:r>
          </w:p>
          <w:p>
            <w:pPr>
              <w:rPr>
                <w:rFonts w:ascii="Comic Sans MS" w:hAnsi="Comic Sans MS"/>
              </w:rPr>
            </w:pPr>
          </w:p>
          <w:p>
            <w:pPr>
              <w:rPr>
                <w:rFonts w:ascii="Comic Sans MS" w:hAnsi="Comic Sans MS"/>
              </w:rPr>
            </w:pPr>
          </w:p>
          <w:p>
            <w:pPr>
              <w:rPr>
                <w:rFonts w:ascii="Comic Sans MS" w:hAnsi="Comic Sans MS"/>
              </w:rPr>
            </w:pPr>
          </w:p>
        </w:tc>
      </w:tr>
    </w:tbl>
    <w:p>
      <w:pPr>
        <w:rPr>
          <w:rFonts w:ascii="Comic Sans MS" w:hAnsi="Comic Sans MS"/>
        </w:rPr>
      </w:pPr>
    </w:p>
    <w:sectPr>
      <w:headerReference w:type="default" r:id="rId7"/>
      <w:pgSz w:w="16838" w:h="11906" w:orient="landscape"/>
      <w:pgMar w:top="127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8354060</wp:posOffset>
          </wp:positionH>
          <wp:positionV relativeFrom="paragraph">
            <wp:posOffset>-266700</wp:posOffset>
          </wp:positionV>
          <wp:extent cx="1614805" cy="581660"/>
          <wp:effectExtent l="0" t="0" r="4445" b="889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ak Learning Trust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4805" cy="581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D2E07"/>
    <w:multiLevelType w:val="hybridMultilevel"/>
    <w:tmpl w:val="E32A5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2636E"/>
    <w:multiLevelType w:val="hybridMultilevel"/>
    <w:tmpl w:val="ED8233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571D5A"/>
    <w:multiLevelType w:val="hybridMultilevel"/>
    <w:tmpl w:val="9C9EC8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F81954"/>
    <w:multiLevelType w:val="hybridMultilevel"/>
    <w:tmpl w:val="470CF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511CC1"/>
    <w:multiLevelType w:val="hybridMultilevel"/>
    <w:tmpl w:val="B770C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AAF82C97-E61D-4392-AD50-43DB0E148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 Taylor</dc:creator>
  <cp:lastModifiedBy>Hayden, J</cp:lastModifiedBy>
  <cp:revision>3</cp:revision>
  <cp:lastPrinted>2014-03-17T09:27:00Z</cp:lastPrinted>
  <dcterms:created xsi:type="dcterms:W3CDTF">2019-05-20T09:06:00Z</dcterms:created>
  <dcterms:modified xsi:type="dcterms:W3CDTF">2019-05-20T09:07:00Z</dcterms:modified>
</cp:coreProperties>
</file>