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D2" w:rsidRDefault="000D5CBA">
      <w:pPr>
        <w:spacing w:after="0" w:line="259" w:lineRule="auto"/>
        <w:ind w:left="0" w:right="1008" w:firstLine="0"/>
        <w:jc w:val="center"/>
      </w:pPr>
      <w:r>
        <w:rPr>
          <w:noProof/>
        </w:rPr>
        <w:drawing>
          <wp:anchor distT="0" distB="0" distL="114300" distR="114300" simplePos="0" relativeHeight="251659264" behindDoc="1" locked="0" layoutInCell="1" allowOverlap="0">
            <wp:simplePos x="0" y="0"/>
            <wp:positionH relativeFrom="margin">
              <wp:posOffset>5692775</wp:posOffset>
            </wp:positionH>
            <wp:positionV relativeFrom="page">
              <wp:posOffset>1676400</wp:posOffset>
            </wp:positionV>
            <wp:extent cx="803910" cy="933450"/>
            <wp:effectExtent l="0" t="0" r="0" b="0"/>
            <wp:wrapTight wrapText="bothSides">
              <wp:wrapPolygon edited="0">
                <wp:start x="0" y="0"/>
                <wp:lineTo x="0" y="21159"/>
                <wp:lineTo x="20986" y="21159"/>
                <wp:lineTo x="20986" y="0"/>
                <wp:lineTo x="0" y="0"/>
              </wp:wrapPolygon>
            </wp:wrapTight>
            <wp:docPr id="3104" name="Picture 3104"/>
            <wp:cNvGraphicFramePr/>
            <a:graphic xmlns:a="http://schemas.openxmlformats.org/drawingml/2006/main">
              <a:graphicData uri="http://schemas.openxmlformats.org/drawingml/2006/picture">
                <pic:pic xmlns:pic="http://schemas.openxmlformats.org/drawingml/2006/picture">
                  <pic:nvPicPr>
                    <pic:cNvPr id="3104" name="Picture 3104"/>
                    <pic:cNvPicPr/>
                  </pic:nvPicPr>
                  <pic:blipFill>
                    <a:blip r:embed="rId7"/>
                    <a:stretch>
                      <a:fillRect/>
                    </a:stretch>
                  </pic:blipFill>
                  <pic:spPr>
                    <a:xfrm>
                      <a:off x="0" y="0"/>
                      <a:ext cx="803910" cy="933450"/>
                    </a:xfrm>
                    <a:prstGeom prst="rect">
                      <a:avLst/>
                    </a:prstGeom>
                  </pic:spPr>
                </pic:pic>
              </a:graphicData>
            </a:graphic>
            <wp14:sizeRelH relativeFrom="margin">
              <wp14:pctWidth>0</wp14:pctWidth>
            </wp14:sizeRelH>
            <wp14:sizeRelV relativeFrom="margin">
              <wp14:pctHeight>0</wp14:pctHeight>
            </wp14:sizeRelV>
          </wp:anchor>
        </w:drawing>
      </w:r>
      <w:r w:rsidR="00565052">
        <w:rPr>
          <w:b/>
          <w:color w:val="323399"/>
          <w:sz w:val="30"/>
        </w:rPr>
        <w:t xml:space="preserve">  </w:t>
      </w:r>
    </w:p>
    <w:p w:rsidR="00FE3674" w:rsidRDefault="00FE3674" w:rsidP="000D5CBA">
      <w:pPr>
        <w:pStyle w:val="Heading1"/>
        <w:ind w:left="2160" w:firstLine="720"/>
      </w:pPr>
      <w:r>
        <w:t>SMART Multi Academy Trust</w:t>
      </w:r>
    </w:p>
    <w:p w:rsidR="00FE3674" w:rsidRDefault="000D5CBA" w:rsidP="000D5CBA">
      <w:pPr>
        <w:pStyle w:val="Heading1"/>
        <w:ind w:left="0" w:firstLine="720"/>
        <w:jc w:val="center"/>
      </w:pPr>
      <w:r>
        <w:t xml:space="preserve">     North Fawdon Primary </w:t>
      </w:r>
      <w:r w:rsidR="00FE3674">
        <w:t>School</w:t>
      </w:r>
    </w:p>
    <w:p w:rsidR="00E73DD2" w:rsidRDefault="00FE3674" w:rsidP="000D5CBA">
      <w:pPr>
        <w:pStyle w:val="Heading1"/>
        <w:jc w:val="center"/>
      </w:pPr>
      <w:r>
        <w:t>Teacher</w:t>
      </w:r>
      <w:r w:rsidR="00343A71">
        <w:t xml:space="preserve"> </w:t>
      </w:r>
      <w:r w:rsidR="0099010B">
        <w:t>-</w:t>
      </w:r>
      <w:r w:rsidR="00343A71">
        <w:t>Main Pay Scale</w:t>
      </w:r>
    </w:p>
    <w:tbl>
      <w:tblPr>
        <w:tblStyle w:val="TableGrid"/>
        <w:tblW w:w="8270" w:type="dxa"/>
        <w:tblInd w:w="640" w:type="dxa"/>
        <w:tblLook w:val="04A0" w:firstRow="1" w:lastRow="0" w:firstColumn="1" w:lastColumn="0" w:noHBand="0" w:noVBand="1"/>
      </w:tblPr>
      <w:tblGrid>
        <w:gridCol w:w="2134"/>
        <w:gridCol w:w="6136"/>
      </w:tblGrid>
      <w:tr w:rsidR="00E73DD2" w:rsidRPr="00B32E39" w:rsidTr="000D5CBA">
        <w:trPr>
          <w:trHeight w:val="313"/>
        </w:trPr>
        <w:tc>
          <w:tcPr>
            <w:tcW w:w="2134" w:type="dxa"/>
            <w:tcBorders>
              <w:top w:val="nil"/>
              <w:left w:val="nil"/>
              <w:bottom w:val="nil"/>
              <w:right w:val="nil"/>
            </w:tcBorders>
          </w:tcPr>
          <w:p w:rsidR="00E73DD2" w:rsidRPr="00B32E39" w:rsidRDefault="00565052">
            <w:pPr>
              <w:spacing w:after="0" w:line="259" w:lineRule="auto"/>
              <w:ind w:left="0" w:right="0" w:firstLine="0"/>
              <w:rPr>
                <w:sz w:val="20"/>
                <w:szCs w:val="20"/>
              </w:rPr>
            </w:pPr>
            <w:r w:rsidRPr="00B32E39">
              <w:rPr>
                <w:b/>
                <w:sz w:val="20"/>
                <w:szCs w:val="20"/>
              </w:rPr>
              <w:t xml:space="preserve">Post Title: </w:t>
            </w:r>
          </w:p>
        </w:tc>
        <w:tc>
          <w:tcPr>
            <w:tcW w:w="6136" w:type="dxa"/>
            <w:tcBorders>
              <w:top w:val="nil"/>
              <w:left w:val="nil"/>
              <w:bottom w:val="nil"/>
              <w:right w:val="nil"/>
            </w:tcBorders>
          </w:tcPr>
          <w:p w:rsidR="00E73DD2" w:rsidRPr="00B32E39" w:rsidRDefault="003436D1" w:rsidP="000D5CBA">
            <w:pPr>
              <w:spacing w:after="0" w:line="259" w:lineRule="auto"/>
              <w:ind w:left="0" w:right="0" w:firstLine="0"/>
              <w:rPr>
                <w:color w:val="auto"/>
                <w:sz w:val="20"/>
                <w:szCs w:val="20"/>
              </w:rPr>
            </w:pPr>
            <w:r>
              <w:rPr>
                <w:color w:val="auto"/>
                <w:sz w:val="20"/>
                <w:szCs w:val="20"/>
              </w:rPr>
              <w:t>KS2</w:t>
            </w:r>
            <w:bookmarkStart w:id="0" w:name="_GoBack"/>
            <w:bookmarkEnd w:id="0"/>
            <w:r w:rsidR="004C06B9">
              <w:rPr>
                <w:color w:val="auto"/>
                <w:sz w:val="20"/>
                <w:szCs w:val="20"/>
              </w:rPr>
              <w:t xml:space="preserve"> </w:t>
            </w:r>
            <w:r w:rsidR="00565052" w:rsidRPr="00B32E39">
              <w:rPr>
                <w:color w:val="auto"/>
                <w:sz w:val="20"/>
                <w:szCs w:val="20"/>
              </w:rPr>
              <w:t xml:space="preserve">Class Teacher </w:t>
            </w:r>
          </w:p>
        </w:tc>
      </w:tr>
      <w:tr w:rsidR="00E73DD2" w:rsidRPr="00B32E39" w:rsidTr="000D5CBA">
        <w:trPr>
          <w:trHeight w:val="373"/>
        </w:trPr>
        <w:tc>
          <w:tcPr>
            <w:tcW w:w="2134" w:type="dxa"/>
            <w:tcBorders>
              <w:top w:val="nil"/>
              <w:left w:val="nil"/>
              <w:bottom w:val="nil"/>
              <w:right w:val="nil"/>
            </w:tcBorders>
          </w:tcPr>
          <w:p w:rsidR="00E73DD2" w:rsidRPr="00B32E39" w:rsidRDefault="00565052">
            <w:pPr>
              <w:spacing w:after="0" w:line="259" w:lineRule="auto"/>
              <w:ind w:left="0" w:right="0" w:firstLine="0"/>
              <w:rPr>
                <w:sz w:val="20"/>
                <w:szCs w:val="20"/>
              </w:rPr>
            </w:pPr>
            <w:proofErr w:type="spellStart"/>
            <w:r w:rsidRPr="00B32E39">
              <w:rPr>
                <w:b/>
                <w:sz w:val="20"/>
                <w:szCs w:val="20"/>
              </w:rPr>
              <w:t>Payscale</w:t>
            </w:r>
            <w:proofErr w:type="spellEnd"/>
            <w:r w:rsidRPr="00B32E39">
              <w:rPr>
                <w:b/>
                <w:sz w:val="20"/>
                <w:szCs w:val="20"/>
              </w:rPr>
              <w:t xml:space="preserve">: </w:t>
            </w:r>
          </w:p>
        </w:tc>
        <w:tc>
          <w:tcPr>
            <w:tcW w:w="6136" w:type="dxa"/>
            <w:tcBorders>
              <w:top w:val="nil"/>
              <w:left w:val="nil"/>
              <w:bottom w:val="nil"/>
              <w:right w:val="nil"/>
            </w:tcBorders>
          </w:tcPr>
          <w:p w:rsidR="00E73DD2" w:rsidRPr="00B32E39" w:rsidRDefault="00565052" w:rsidP="00565052">
            <w:pPr>
              <w:spacing w:after="0" w:line="259" w:lineRule="auto"/>
              <w:ind w:left="0" w:right="0" w:firstLine="0"/>
              <w:rPr>
                <w:color w:val="auto"/>
                <w:sz w:val="20"/>
                <w:szCs w:val="20"/>
              </w:rPr>
            </w:pPr>
            <w:r w:rsidRPr="00B32E39">
              <w:rPr>
                <w:color w:val="auto"/>
                <w:sz w:val="20"/>
                <w:szCs w:val="20"/>
              </w:rPr>
              <w:t>MPS</w:t>
            </w:r>
          </w:p>
        </w:tc>
      </w:tr>
      <w:tr w:rsidR="00E73DD2" w:rsidRPr="00B32E39" w:rsidTr="000D5CBA">
        <w:trPr>
          <w:trHeight w:val="373"/>
        </w:trPr>
        <w:tc>
          <w:tcPr>
            <w:tcW w:w="2134" w:type="dxa"/>
            <w:tcBorders>
              <w:top w:val="nil"/>
              <w:left w:val="nil"/>
              <w:bottom w:val="nil"/>
              <w:right w:val="nil"/>
            </w:tcBorders>
          </w:tcPr>
          <w:p w:rsidR="00E73DD2" w:rsidRPr="00B32E39" w:rsidRDefault="00565052">
            <w:pPr>
              <w:spacing w:after="0" w:line="259" w:lineRule="auto"/>
              <w:ind w:left="0" w:right="0" w:firstLine="0"/>
              <w:rPr>
                <w:color w:val="auto"/>
                <w:sz w:val="20"/>
                <w:szCs w:val="20"/>
              </w:rPr>
            </w:pPr>
            <w:r w:rsidRPr="00B32E39">
              <w:rPr>
                <w:b/>
                <w:color w:val="auto"/>
                <w:sz w:val="20"/>
                <w:szCs w:val="20"/>
              </w:rPr>
              <w:t xml:space="preserve">Responsible to: </w:t>
            </w:r>
          </w:p>
        </w:tc>
        <w:tc>
          <w:tcPr>
            <w:tcW w:w="6136" w:type="dxa"/>
            <w:tcBorders>
              <w:top w:val="nil"/>
              <w:left w:val="nil"/>
              <w:bottom w:val="nil"/>
              <w:right w:val="nil"/>
            </w:tcBorders>
          </w:tcPr>
          <w:p w:rsidR="000D5CBA" w:rsidRDefault="000D5CBA">
            <w:pPr>
              <w:spacing w:after="0" w:line="259" w:lineRule="auto"/>
              <w:ind w:left="0" w:right="0" w:firstLine="0"/>
              <w:rPr>
                <w:color w:val="auto"/>
                <w:sz w:val="20"/>
                <w:szCs w:val="20"/>
              </w:rPr>
            </w:pPr>
            <w:r>
              <w:rPr>
                <w:color w:val="auto"/>
                <w:sz w:val="20"/>
                <w:szCs w:val="20"/>
              </w:rPr>
              <w:t xml:space="preserve">Mrs E Elliott – </w:t>
            </w:r>
            <w:proofErr w:type="spellStart"/>
            <w:r w:rsidR="004C06B9">
              <w:rPr>
                <w:color w:val="auto"/>
                <w:sz w:val="20"/>
                <w:szCs w:val="20"/>
              </w:rPr>
              <w:t>Headteacher</w:t>
            </w:r>
            <w:proofErr w:type="spellEnd"/>
            <w:r w:rsidR="006E7149">
              <w:rPr>
                <w:color w:val="auto"/>
                <w:sz w:val="20"/>
                <w:szCs w:val="20"/>
              </w:rPr>
              <w:t xml:space="preserve"> </w:t>
            </w:r>
          </w:p>
          <w:p w:rsidR="000D5CBA" w:rsidRPr="00B32E39" w:rsidRDefault="000D5CBA">
            <w:pPr>
              <w:spacing w:after="0" w:line="259" w:lineRule="auto"/>
              <w:ind w:left="0" w:right="0" w:firstLine="0"/>
              <w:rPr>
                <w:color w:val="auto"/>
                <w:sz w:val="20"/>
                <w:szCs w:val="20"/>
              </w:rPr>
            </w:pPr>
          </w:p>
        </w:tc>
      </w:tr>
      <w:tr w:rsidR="00E73DD2" w:rsidRPr="00B32E39" w:rsidTr="000D5CBA">
        <w:trPr>
          <w:trHeight w:val="373"/>
        </w:trPr>
        <w:tc>
          <w:tcPr>
            <w:tcW w:w="2134" w:type="dxa"/>
            <w:tcBorders>
              <w:top w:val="nil"/>
              <w:left w:val="nil"/>
              <w:bottom w:val="nil"/>
              <w:right w:val="nil"/>
            </w:tcBorders>
          </w:tcPr>
          <w:p w:rsidR="00E73DD2" w:rsidRPr="00B32E39" w:rsidRDefault="00565052">
            <w:pPr>
              <w:spacing w:after="0" w:line="259" w:lineRule="auto"/>
              <w:ind w:left="0" w:right="0" w:firstLine="0"/>
              <w:rPr>
                <w:sz w:val="20"/>
                <w:szCs w:val="20"/>
              </w:rPr>
            </w:pPr>
            <w:r w:rsidRPr="00B32E39">
              <w:rPr>
                <w:b/>
                <w:sz w:val="20"/>
                <w:szCs w:val="20"/>
              </w:rPr>
              <w:t xml:space="preserve">Responsible for: </w:t>
            </w:r>
          </w:p>
        </w:tc>
        <w:tc>
          <w:tcPr>
            <w:tcW w:w="6136" w:type="dxa"/>
            <w:tcBorders>
              <w:top w:val="nil"/>
              <w:left w:val="nil"/>
              <w:bottom w:val="nil"/>
              <w:right w:val="nil"/>
            </w:tcBorders>
          </w:tcPr>
          <w:p w:rsidR="00E73DD2" w:rsidRPr="00B32E39" w:rsidRDefault="00FA0BA4" w:rsidP="000D5CBA">
            <w:pPr>
              <w:spacing w:after="0" w:line="259" w:lineRule="auto"/>
              <w:ind w:left="0" w:right="0" w:firstLine="0"/>
              <w:rPr>
                <w:color w:val="auto"/>
                <w:sz w:val="20"/>
                <w:szCs w:val="20"/>
              </w:rPr>
            </w:pPr>
            <w:r w:rsidRPr="00B32E39">
              <w:rPr>
                <w:color w:val="auto"/>
                <w:sz w:val="20"/>
                <w:szCs w:val="20"/>
              </w:rPr>
              <w:t>Teaching and l</w:t>
            </w:r>
            <w:r w:rsidR="000D5CBA">
              <w:rPr>
                <w:color w:val="auto"/>
                <w:sz w:val="20"/>
                <w:szCs w:val="20"/>
              </w:rPr>
              <w:t xml:space="preserve">earning within a year group </w:t>
            </w:r>
          </w:p>
        </w:tc>
      </w:tr>
      <w:tr w:rsidR="00E73DD2" w:rsidRPr="00B32E39" w:rsidTr="000D5CBA">
        <w:trPr>
          <w:trHeight w:val="1090"/>
        </w:trPr>
        <w:tc>
          <w:tcPr>
            <w:tcW w:w="2134" w:type="dxa"/>
            <w:tcBorders>
              <w:top w:val="nil"/>
              <w:left w:val="nil"/>
              <w:bottom w:val="nil"/>
              <w:right w:val="nil"/>
            </w:tcBorders>
          </w:tcPr>
          <w:p w:rsidR="00E73DD2" w:rsidRPr="00B32E39" w:rsidRDefault="00565052">
            <w:pPr>
              <w:spacing w:after="0" w:line="259" w:lineRule="auto"/>
              <w:ind w:left="0" w:right="0" w:firstLine="0"/>
              <w:rPr>
                <w:sz w:val="20"/>
                <w:szCs w:val="20"/>
              </w:rPr>
            </w:pPr>
            <w:r w:rsidRPr="00B32E39">
              <w:rPr>
                <w:b/>
                <w:sz w:val="20"/>
                <w:szCs w:val="20"/>
              </w:rPr>
              <w:t xml:space="preserve">Job Purpose: </w:t>
            </w:r>
          </w:p>
        </w:tc>
        <w:tc>
          <w:tcPr>
            <w:tcW w:w="6136" w:type="dxa"/>
            <w:tcBorders>
              <w:top w:val="nil"/>
              <w:left w:val="nil"/>
              <w:bottom w:val="nil"/>
              <w:right w:val="nil"/>
            </w:tcBorders>
          </w:tcPr>
          <w:p w:rsidR="00E73DD2" w:rsidRPr="00B32E39" w:rsidRDefault="00565052">
            <w:pPr>
              <w:spacing w:after="0" w:line="259" w:lineRule="auto"/>
              <w:ind w:left="0" w:right="0" w:firstLine="0"/>
              <w:rPr>
                <w:color w:val="auto"/>
                <w:sz w:val="20"/>
                <w:szCs w:val="20"/>
              </w:rPr>
            </w:pPr>
            <w:r w:rsidRPr="00B32E39">
              <w:rPr>
                <w:color w:val="auto"/>
                <w:sz w:val="20"/>
                <w:szCs w:val="20"/>
              </w:rPr>
              <w:t xml:space="preserve">To be accountable for educational progress of learners in a designated class by effective teaching and learning and contribute to the monitoring and development of a curriculum area and pupil development across the curriculum. </w:t>
            </w:r>
          </w:p>
        </w:tc>
      </w:tr>
    </w:tbl>
    <w:p w:rsidR="00E73DD2" w:rsidRPr="00B32E39" w:rsidRDefault="00565052">
      <w:pPr>
        <w:spacing w:after="0" w:line="259" w:lineRule="auto"/>
        <w:ind w:left="640" w:right="0" w:firstLine="0"/>
        <w:rPr>
          <w:sz w:val="20"/>
          <w:szCs w:val="20"/>
        </w:rPr>
      </w:pPr>
      <w:r w:rsidRPr="00B32E39">
        <w:rPr>
          <w:b/>
          <w:sz w:val="20"/>
          <w:szCs w:val="20"/>
        </w:rPr>
        <w:t xml:space="preserve"> </w:t>
      </w:r>
    </w:p>
    <w:p w:rsidR="00E73DD2" w:rsidRPr="00B32E39" w:rsidRDefault="00565052">
      <w:pPr>
        <w:spacing w:after="5" w:line="250" w:lineRule="auto"/>
        <w:ind w:left="635" w:right="50" w:hanging="10"/>
        <w:rPr>
          <w:sz w:val="20"/>
          <w:szCs w:val="20"/>
        </w:rPr>
      </w:pPr>
      <w:r w:rsidRPr="00B32E39">
        <w:rPr>
          <w:b/>
          <w:sz w:val="20"/>
          <w:szCs w:val="20"/>
        </w:rPr>
        <w:t xml:space="preserve">Main responsibilities: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ind w:left="625" w:firstLine="0"/>
        <w:rPr>
          <w:sz w:val="20"/>
          <w:szCs w:val="20"/>
        </w:rPr>
      </w:pPr>
      <w:r w:rsidRPr="00B32E39">
        <w:rPr>
          <w:sz w:val="20"/>
          <w:szCs w:val="20"/>
        </w:rPr>
        <w:t xml:space="preserve">The following list is typical of the level of duties, which the </w:t>
      </w:r>
      <w:proofErr w:type="spellStart"/>
      <w:r w:rsidRPr="00B32E39">
        <w:rPr>
          <w:sz w:val="20"/>
          <w:szCs w:val="20"/>
        </w:rPr>
        <w:t>postholder</w:t>
      </w:r>
      <w:proofErr w:type="spellEnd"/>
      <w:r w:rsidRPr="00B32E39">
        <w:rPr>
          <w:sz w:val="20"/>
          <w:szCs w:val="20"/>
        </w:rPr>
        <w:t xml:space="preserve"> will be expected to perform.  It is not necessarily exhaustive and other duties of a similar type and level may be required from time to time.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spacing w:after="251" w:line="250" w:lineRule="auto"/>
        <w:ind w:left="635" w:right="50" w:hanging="10"/>
        <w:rPr>
          <w:sz w:val="20"/>
          <w:szCs w:val="20"/>
        </w:rPr>
      </w:pPr>
      <w:r w:rsidRPr="00B32E39">
        <w:rPr>
          <w:b/>
          <w:sz w:val="20"/>
          <w:szCs w:val="20"/>
        </w:rPr>
        <w:t xml:space="preserve">General  </w:t>
      </w:r>
    </w:p>
    <w:p w:rsidR="00E73DD2" w:rsidRPr="00B32E39" w:rsidRDefault="00565052">
      <w:pPr>
        <w:numPr>
          <w:ilvl w:val="0"/>
          <w:numId w:val="1"/>
        </w:numPr>
        <w:spacing w:after="254"/>
        <w:ind w:right="101" w:hanging="678"/>
        <w:rPr>
          <w:sz w:val="20"/>
          <w:szCs w:val="20"/>
        </w:rPr>
      </w:pPr>
      <w:r w:rsidRPr="00B32E39">
        <w:rPr>
          <w:sz w:val="20"/>
          <w:szCs w:val="20"/>
        </w:rPr>
        <w:t xml:space="preserve">To carry out the professional duties of a Teacher as set out in the School Teachers' Pay and Conditions Document.  Carry out teaching duties in accordance with the </w:t>
      </w:r>
      <w:r w:rsidR="00A54C2F">
        <w:rPr>
          <w:sz w:val="20"/>
          <w:szCs w:val="20"/>
        </w:rPr>
        <w:t xml:space="preserve">Academy Trust and </w:t>
      </w:r>
      <w:r w:rsidRPr="00B32E39">
        <w:rPr>
          <w:sz w:val="20"/>
          <w:szCs w:val="20"/>
        </w:rPr>
        <w:t xml:space="preserve">school's schemes of work and the National Curriculum.  </w:t>
      </w:r>
    </w:p>
    <w:p w:rsidR="00E73DD2" w:rsidRPr="00B32E39" w:rsidRDefault="00565052">
      <w:pPr>
        <w:spacing w:after="5" w:line="250" w:lineRule="auto"/>
        <w:ind w:left="635" w:right="50" w:hanging="10"/>
        <w:rPr>
          <w:sz w:val="20"/>
          <w:szCs w:val="20"/>
        </w:rPr>
      </w:pPr>
      <w:r w:rsidRPr="00B32E39">
        <w:rPr>
          <w:b/>
          <w:sz w:val="20"/>
          <w:szCs w:val="20"/>
        </w:rPr>
        <w:t xml:space="preserve">Generic Responsibilities </w:t>
      </w:r>
    </w:p>
    <w:p w:rsidR="00E73DD2" w:rsidRPr="00B32E39" w:rsidRDefault="00565052">
      <w:pPr>
        <w:spacing w:after="0" w:line="259" w:lineRule="auto"/>
        <w:ind w:left="640" w:right="0" w:firstLine="0"/>
        <w:rPr>
          <w:sz w:val="20"/>
          <w:szCs w:val="20"/>
        </w:rPr>
      </w:pPr>
      <w:r w:rsidRPr="00B32E39">
        <w:rPr>
          <w:b/>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Establish a purposeful and safe learning environment and manage learners’ behaviour constructively by establishing and maintaining a clear and positive framework for discipline and a supportive culture in line with the school behaviour policy.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Contribute to the monitoring and development of a curriculum area and pupil development across the curriculum to ensure suitable opportunities are provided for learner aspirations to be met.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E73DD2" w:rsidRPr="00B32E39" w:rsidRDefault="00565052">
      <w:pPr>
        <w:spacing w:after="0" w:line="259" w:lineRule="auto"/>
        <w:ind w:left="640" w:right="0" w:firstLine="0"/>
        <w:rPr>
          <w:sz w:val="20"/>
          <w:szCs w:val="20"/>
        </w:rPr>
      </w:pPr>
      <w:r w:rsidRPr="00B32E39">
        <w:rPr>
          <w:sz w:val="20"/>
          <w:szCs w:val="20"/>
        </w:rPr>
        <w:t xml:space="preserve"> </w:t>
      </w:r>
    </w:p>
    <w:p w:rsidR="00565052" w:rsidRPr="00B32E39" w:rsidRDefault="00565052" w:rsidP="00565052">
      <w:pPr>
        <w:ind w:left="640" w:firstLine="0"/>
        <w:rPr>
          <w:sz w:val="20"/>
          <w:szCs w:val="20"/>
        </w:rPr>
      </w:pPr>
    </w:p>
    <w:p w:rsidR="00E73DD2" w:rsidRPr="00B32E39" w:rsidRDefault="00565052">
      <w:pPr>
        <w:numPr>
          <w:ilvl w:val="0"/>
          <w:numId w:val="1"/>
        </w:numPr>
        <w:ind w:right="101" w:hanging="678"/>
        <w:rPr>
          <w:sz w:val="20"/>
          <w:szCs w:val="20"/>
        </w:rPr>
      </w:pPr>
      <w:r w:rsidRPr="00B32E39">
        <w:rPr>
          <w:sz w:val="20"/>
          <w:szCs w:val="20"/>
        </w:rPr>
        <w:t>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behaviour expected from learners</w:t>
      </w:r>
    </w:p>
    <w:p w:rsidR="00565052" w:rsidRPr="00B32E39" w:rsidRDefault="00565052" w:rsidP="00565052">
      <w:pPr>
        <w:ind w:left="0" w:firstLine="0"/>
        <w:rPr>
          <w:sz w:val="20"/>
          <w:szCs w:val="20"/>
        </w:rPr>
      </w:pPr>
    </w:p>
    <w:p w:rsidR="00E73DD2" w:rsidRPr="00B32E39" w:rsidRDefault="00E73DD2" w:rsidP="00565052">
      <w:pPr>
        <w:ind w:left="640" w:firstLine="0"/>
        <w:rPr>
          <w:sz w:val="20"/>
          <w:szCs w:val="20"/>
        </w:rPr>
      </w:pPr>
    </w:p>
    <w:p w:rsidR="00E73DD2" w:rsidRPr="00B32E39" w:rsidRDefault="00565052">
      <w:pPr>
        <w:numPr>
          <w:ilvl w:val="0"/>
          <w:numId w:val="1"/>
        </w:numPr>
        <w:ind w:right="101" w:hanging="678"/>
        <w:rPr>
          <w:sz w:val="20"/>
          <w:szCs w:val="20"/>
        </w:rPr>
      </w:pPr>
      <w:r w:rsidRPr="00B32E39">
        <w:rPr>
          <w:sz w:val="20"/>
          <w:szCs w:val="20"/>
        </w:rPr>
        <w:t xml:space="preserve">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Demonstrate ongoing development and application of teaching practice, expertise and subject, specialism and/or phase knowledge to enrich the learning experience within and beyond the teacher’s assigned classes or groups of learners.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Contribute to the development and implementation of priorities, policies and activities in order to enable the achievement of whole school aims.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Promote the safeguarding and welfare of children and young persons the </w:t>
      </w:r>
      <w:proofErr w:type="spellStart"/>
      <w:r w:rsidRPr="00B32E39">
        <w:rPr>
          <w:sz w:val="20"/>
          <w:szCs w:val="20"/>
        </w:rPr>
        <w:t>postholder</w:t>
      </w:r>
      <w:proofErr w:type="spellEnd"/>
      <w:r w:rsidRPr="00B32E39">
        <w:rPr>
          <w:sz w:val="20"/>
          <w:szCs w:val="20"/>
        </w:rPr>
        <w:t xml:space="preserve"> is responsible for, or comes into contact with. Be aware of school policies and other guidance on the safeguarding and promotion of </w:t>
      </w:r>
      <w:r w:rsidR="00B43669" w:rsidRPr="00B32E39">
        <w:rPr>
          <w:sz w:val="20"/>
          <w:szCs w:val="20"/>
        </w:rPr>
        <w:t>wellbeing</w:t>
      </w:r>
      <w:r w:rsidRPr="00B32E39">
        <w:rPr>
          <w:sz w:val="20"/>
          <w:szCs w:val="20"/>
        </w:rPr>
        <w:t xml:space="preserve"> of children and young people. Take appropriate action where required.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565052">
      <w:pPr>
        <w:numPr>
          <w:ilvl w:val="0"/>
          <w:numId w:val="1"/>
        </w:numPr>
        <w:ind w:right="101" w:hanging="678"/>
        <w:rPr>
          <w:sz w:val="20"/>
          <w:szCs w:val="20"/>
        </w:rPr>
      </w:pPr>
      <w:r w:rsidRPr="00B32E39">
        <w:rPr>
          <w:sz w:val="20"/>
          <w:szCs w:val="20"/>
        </w:rPr>
        <w:t xml:space="preserve">To work effectively with / be aware of and assist integrated processes, such as Common Assessment Framework and local opportunities which support ECM and NCYPP aims for children, young people and their families  </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Default="00565052">
      <w:pPr>
        <w:numPr>
          <w:ilvl w:val="0"/>
          <w:numId w:val="1"/>
        </w:numPr>
        <w:ind w:right="101" w:hanging="678"/>
        <w:rPr>
          <w:sz w:val="20"/>
          <w:szCs w:val="20"/>
        </w:rPr>
      </w:pPr>
      <w:r w:rsidRPr="00B32E39">
        <w:rPr>
          <w:sz w:val="20"/>
          <w:szCs w:val="20"/>
        </w:rPr>
        <w:t xml:space="preserve">Promote and implement policies and practices that encourage mutual tolerance and respect for diversity in all aspects of employment and service delivery. </w:t>
      </w:r>
    </w:p>
    <w:p w:rsidR="00E0099E" w:rsidRDefault="00E0099E" w:rsidP="00E0099E">
      <w:pPr>
        <w:ind w:left="1303" w:right="101" w:firstLine="0"/>
        <w:rPr>
          <w:sz w:val="20"/>
          <w:szCs w:val="20"/>
        </w:rPr>
      </w:pPr>
    </w:p>
    <w:p w:rsidR="00E0099E" w:rsidRDefault="00E0099E" w:rsidP="00E0099E">
      <w:pPr>
        <w:ind w:left="1303" w:right="101" w:firstLine="0"/>
        <w:rPr>
          <w:sz w:val="20"/>
          <w:szCs w:val="20"/>
        </w:rPr>
      </w:pPr>
    </w:p>
    <w:p w:rsidR="00E0099E" w:rsidRDefault="00E0099E">
      <w:pPr>
        <w:numPr>
          <w:ilvl w:val="0"/>
          <w:numId w:val="1"/>
        </w:numPr>
        <w:ind w:right="101" w:hanging="678"/>
        <w:rPr>
          <w:sz w:val="20"/>
          <w:szCs w:val="20"/>
        </w:rPr>
      </w:pPr>
      <w:r>
        <w:rPr>
          <w:sz w:val="20"/>
          <w:szCs w:val="20"/>
        </w:rPr>
        <w:t>To work within the policies and procedures of the Academy Trust and uphold its Ethos</w:t>
      </w:r>
    </w:p>
    <w:p w:rsidR="009215B8" w:rsidRPr="00B32E39" w:rsidRDefault="00E0099E" w:rsidP="009215B8">
      <w:pPr>
        <w:ind w:left="1303" w:right="101" w:firstLine="0"/>
        <w:rPr>
          <w:sz w:val="20"/>
          <w:szCs w:val="20"/>
        </w:rPr>
      </w:pPr>
      <w:r>
        <w:rPr>
          <w:sz w:val="20"/>
          <w:szCs w:val="20"/>
        </w:rPr>
        <w:t>and values.</w:t>
      </w:r>
    </w:p>
    <w:p w:rsidR="00E73DD2" w:rsidRPr="00B32E39" w:rsidRDefault="00565052">
      <w:pPr>
        <w:spacing w:after="0" w:line="259" w:lineRule="auto"/>
        <w:ind w:left="640" w:right="0" w:firstLine="0"/>
        <w:rPr>
          <w:sz w:val="20"/>
          <w:szCs w:val="20"/>
        </w:rPr>
      </w:pPr>
      <w:r w:rsidRPr="00B32E39">
        <w:rPr>
          <w:sz w:val="20"/>
          <w:szCs w:val="20"/>
        </w:rPr>
        <w:t xml:space="preserve"> </w:t>
      </w:r>
    </w:p>
    <w:p w:rsidR="00E73DD2" w:rsidRPr="00B32E39" w:rsidRDefault="00E73DD2">
      <w:pPr>
        <w:spacing w:after="0" w:line="259" w:lineRule="auto"/>
        <w:ind w:left="640" w:right="0" w:firstLine="0"/>
        <w:rPr>
          <w:sz w:val="20"/>
          <w:szCs w:val="20"/>
        </w:rPr>
      </w:pPr>
    </w:p>
    <w:p w:rsidR="00E73DD2" w:rsidRDefault="00E73DD2">
      <w:pPr>
        <w:spacing w:after="5" w:line="250" w:lineRule="auto"/>
        <w:ind w:left="635" w:right="50" w:hanging="10"/>
      </w:pPr>
    </w:p>
    <w:sectPr w:rsidR="00E73DD2" w:rsidSect="00467D25">
      <w:headerReference w:type="default" r:id="rId8"/>
      <w:footerReference w:type="default" r:id="rId9"/>
      <w:pgSz w:w="11906" w:h="16838" w:code="9"/>
      <w:pgMar w:top="673" w:right="1580" w:bottom="1152" w:left="1235"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5D" w:rsidRDefault="00DC475D" w:rsidP="00624C4F">
      <w:pPr>
        <w:spacing w:after="0" w:line="240" w:lineRule="auto"/>
      </w:pPr>
      <w:r>
        <w:separator/>
      </w:r>
    </w:p>
  </w:endnote>
  <w:endnote w:type="continuationSeparator" w:id="0">
    <w:p w:rsidR="00DC475D" w:rsidRDefault="00DC475D" w:rsidP="0062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4F" w:rsidRPr="00624C4F" w:rsidRDefault="00624C4F" w:rsidP="00624C4F">
    <w:pPr>
      <w:spacing w:after="5" w:line="250" w:lineRule="auto"/>
      <w:ind w:left="635" w:right="50" w:hanging="10"/>
      <w:rPr>
        <w:sz w:val="20"/>
        <w:szCs w:val="20"/>
      </w:rPr>
    </w:pPr>
    <w:r w:rsidRPr="00624C4F">
      <w:rPr>
        <w:b/>
        <w:sz w:val="20"/>
        <w:szCs w:val="20"/>
      </w:rPr>
      <w:t>SMART Multi Academy Trust is an exempt charity and company limited by guarantee registered in England with company number 10257723. The company's registered office is Wyndham Primary School, Montagu Avenue, Newcastle upon Tyne NE3 4SB.</w:t>
    </w:r>
    <w:r w:rsidRPr="00624C4F">
      <w:rPr>
        <w:sz w:val="20"/>
        <w:szCs w:val="20"/>
      </w:rPr>
      <w:t xml:space="preserve"> </w:t>
    </w:r>
  </w:p>
  <w:p w:rsidR="00624C4F" w:rsidRDefault="0062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5D" w:rsidRDefault="00DC475D" w:rsidP="00624C4F">
      <w:pPr>
        <w:spacing w:after="0" w:line="240" w:lineRule="auto"/>
      </w:pPr>
      <w:r>
        <w:separator/>
      </w:r>
    </w:p>
  </w:footnote>
  <w:footnote w:type="continuationSeparator" w:id="0">
    <w:p w:rsidR="00DC475D" w:rsidRDefault="00DC475D" w:rsidP="0062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BA" w:rsidRDefault="000D5CBA">
    <w:pPr>
      <w:pStyle w:val="Header"/>
    </w:pPr>
    <w:r>
      <w:rPr>
        <w:noProof/>
      </w:rPr>
      <w:drawing>
        <wp:anchor distT="0" distB="0" distL="114300" distR="114300" simplePos="0" relativeHeight="251659264" behindDoc="0" locked="0" layoutInCell="1" allowOverlap="1" wp14:anchorId="15AD6B57" wp14:editId="38FBA79F">
          <wp:simplePos x="0" y="0"/>
          <wp:positionH relativeFrom="column">
            <wp:posOffset>-838200</wp:posOffset>
          </wp:positionH>
          <wp:positionV relativeFrom="paragraph">
            <wp:posOffset>-352425</wp:posOffset>
          </wp:positionV>
          <wp:extent cx="9187815" cy="1247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wdon-banner.jpg"/>
                  <pic:cNvPicPr/>
                </pic:nvPicPr>
                <pic:blipFill rotWithShape="1">
                  <a:blip r:embed="rId1">
                    <a:extLst>
                      <a:ext uri="{BEBA8EAE-BF5A-486C-A8C5-ECC9F3942E4B}">
                        <a14:imgProps xmlns:a14="http://schemas.microsoft.com/office/drawing/2010/main">
                          <a14:imgLayer r:embed="rId2">
                            <a14:imgEffect>
                              <a14:colorTemperature colorTemp="6125"/>
                            </a14:imgEffect>
                          </a14:imgLayer>
                        </a14:imgProps>
                      </a:ext>
                      <a:ext uri="{28A0092B-C50C-407E-A947-70E740481C1C}">
                        <a14:useLocalDpi xmlns:a14="http://schemas.microsoft.com/office/drawing/2010/main" val="0"/>
                      </a:ext>
                    </a:extLst>
                  </a:blip>
                  <a:srcRect l="16238" t="8139" b="9303"/>
                  <a:stretch/>
                </pic:blipFill>
                <pic:spPr bwMode="auto">
                  <a:xfrm>
                    <a:off x="0" y="0"/>
                    <a:ext cx="918781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877"/>
    <w:multiLevelType w:val="hybridMultilevel"/>
    <w:tmpl w:val="71D0B192"/>
    <w:lvl w:ilvl="0" w:tplc="9B5CAA54">
      <w:start w:val="1"/>
      <w:numFmt w:val="decimal"/>
      <w:lvlText w:val="%1"/>
      <w:lvlJc w:val="left"/>
      <w:pPr>
        <w:ind w:left="1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20EE13C">
      <w:start w:val="1"/>
      <w:numFmt w:val="lowerLetter"/>
      <w:lvlText w:val="%2"/>
      <w:lvlJc w:val="left"/>
      <w:pPr>
        <w:ind w:left="1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6805B14">
      <w:start w:val="1"/>
      <w:numFmt w:val="lowerRoman"/>
      <w:lvlText w:val="%3"/>
      <w:lvlJc w:val="left"/>
      <w:pPr>
        <w:ind w:left="20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F96DEF2">
      <w:start w:val="1"/>
      <w:numFmt w:val="decimal"/>
      <w:lvlText w:val="%4"/>
      <w:lvlJc w:val="left"/>
      <w:pPr>
        <w:ind w:left="27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7C80D56">
      <w:start w:val="1"/>
      <w:numFmt w:val="lowerLetter"/>
      <w:lvlText w:val="%5"/>
      <w:lvlJc w:val="left"/>
      <w:pPr>
        <w:ind w:left="34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41A4B02">
      <w:start w:val="1"/>
      <w:numFmt w:val="lowerRoman"/>
      <w:lvlText w:val="%6"/>
      <w:lvlJc w:val="left"/>
      <w:pPr>
        <w:ind w:left="41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E02B938">
      <w:start w:val="1"/>
      <w:numFmt w:val="decimal"/>
      <w:lvlText w:val="%7"/>
      <w:lvlJc w:val="left"/>
      <w:pPr>
        <w:ind w:left="48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9EDDDE">
      <w:start w:val="1"/>
      <w:numFmt w:val="lowerLetter"/>
      <w:lvlText w:val="%8"/>
      <w:lvlJc w:val="left"/>
      <w:pPr>
        <w:ind w:left="56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2D0AB0E">
      <w:start w:val="1"/>
      <w:numFmt w:val="lowerRoman"/>
      <w:lvlText w:val="%9"/>
      <w:lvlJc w:val="left"/>
      <w:pPr>
        <w:ind w:left="63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D2"/>
    <w:rsid w:val="000D5CBA"/>
    <w:rsid w:val="001C6482"/>
    <w:rsid w:val="003436D1"/>
    <w:rsid w:val="00343A71"/>
    <w:rsid w:val="00436C36"/>
    <w:rsid w:val="00443B4C"/>
    <w:rsid w:val="00454857"/>
    <w:rsid w:val="00467D25"/>
    <w:rsid w:val="00470549"/>
    <w:rsid w:val="004C06B9"/>
    <w:rsid w:val="004D06DF"/>
    <w:rsid w:val="00565052"/>
    <w:rsid w:val="00624C4F"/>
    <w:rsid w:val="006E7149"/>
    <w:rsid w:val="008A33DC"/>
    <w:rsid w:val="008B7C4C"/>
    <w:rsid w:val="009215B8"/>
    <w:rsid w:val="0099010B"/>
    <w:rsid w:val="00A54C2F"/>
    <w:rsid w:val="00B32E39"/>
    <w:rsid w:val="00B43669"/>
    <w:rsid w:val="00C9061A"/>
    <w:rsid w:val="00DC475D"/>
    <w:rsid w:val="00E0099E"/>
    <w:rsid w:val="00E73DD2"/>
    <w:rsid w:val="00EF3AAD"/>
    <w:rsid w:val="00F87A16"/>
    <w:rsid w:val="00FA0BA4"/>
    <w:rsid w:val="00FE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55C8"/>
  <w15:docId w15:val="{B0BE8BDC-99C8-4C19-AA58-8C6D5248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328" w:right="215" w:hanging="688"/>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878"/>
      <w:outlineLvl w:val="0"/>
    </w:pPr>
    <w:rPr>
      <w:rFonts w:ascii="Arial" w:eastAsia="Arial" w:hAnsi="Arial" w:cs="Arial"/>
      <w:b/>
      <w:color w:val="323399"/>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23399"/>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C4F"/>
    <w:rPr>
      <w:rFonts w:ascii="Arial" w:eastAsia="Arial" w:hAnsi="Arial" w:cs="Arial"/>
      <w:color w:val="000000"/>
      <w:sz w:val="23"/>
    </w:rPr>
  </w:style>
  <w:style w:type="paragraph" w:styleId="Footer">
    <w:name w:val="footer"/>
    <w:basedOn w:val="Normal"/>
    <w:link w:val="FooterChar"/>
    <w:uiPriority w:val="99"/>
    <w:unhideWhenUsed/>
    <w:rsid w:val="0062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C4F"/>
    <w:rPr>
      <w:rFonts w:ascii="Arial" w:eastAsia="Arial" w:hAnsi="Arial" w:cs="Arial"/>
      <w:color w:val="000000"/>
      <w:sz w:val="23"/>
    </w:rPr>
  </w:style>
  <w:style w:type="paragraph" w:styleId="BalloonText">
    <w:name w:val="Balloon Text"/>
    <w:basedOn w:val="Normal"/>
    <w:link w:val="BalloonTextChar"/>
    <w:uiPriority w:val="99"/>
    <w:semiHidden/>
    <w:unhideWhenUsed/>
    <w:rsid w:val="000D5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B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Job Description for Class Teacher</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for Class Teacher</dc:title>
  <dc:subject/>
  <dc:creator>55140</dc:creator>
  <cp:keywords/>
  <cp:lastModifiedBy>Campbell, Sarah</cp:lastModifiedBy>
  <cp:revision>2</cp:revision>
  <cp:lastPrinted>2020-09-09T12:46:00Z</cp:lastPrinted>
  <dcterms:created xsi:type="dcterms:W3CDTF">2021-03-19T11:54:00Z</dcterms:created>
  <dcterms:modified xsi:type="dcterms:W3CDTF">2021-03-19T11:54:00Z</dcterms:modified>
</cp:coreProperties>
</file>