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w:t>
      </w:r>
      <w:bookmarkStart w:id="0" w:name="_GoBack"/>
      <w:bookmarkEnd w:id="0"/>
      <w:r w:rsidRPr="00D75188">
        <w:rPr>
          <w:rFonts w:ascii="Arial" w:hAnsi="Arial" w:cs="Arial"/>
          <w:b/>
          <w:sz w:val="28"/>
          <w:szCs w:val="28"/>
          <w:u w:val="single"/>
        </w:rPr>
        <w:t>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A552C2" w:rsidP="00D2380F">
      <w:pPr>
        <w:pStyle w:val="PlainText"/>
        <w:jc w:val="center"/>
        <w:outlineLvl w:val="0"/>
        <w:rPr>
          <w:rFonts w:ascii="Arial" w:hAnsi="Arial" w:cs="Arial"/>
          <w:b/>
          <w:sz w:val="24"/>
          <w:szCs w:val="24"/>
          <w:u w:val="single"/>
        </w:rPr>
      </w:pPr>
      <w:r>
        <w:rPr>
          <w:rFonts w:ascii="Arial" w:hAnsi="Arial" w:cs="Arial"/>
          <w:b/>
          <w:sz w:val="24"/>
          <w:szCs w:val="24"/>
          <w:u w:val="single"/>
        </w:rPr>
        <w:t>LEGAL</w:t>
      </w:r>
      <w:r w:rsidR="00FF4D4C">
        <w:rPr>
          <w:rFonts w:ascii="Arial" w:hAnsi="Arial" w:cs="Arial"/>
          <w:b/>
          <w:sz w:val="24"/>
          <w:szCs w:val="24"/>
          <w:u w:val="single"/>
        </w:rPr>
        <w:t xml:space="preserve">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51238">
        <w:rPr>
          <w:rFonts w:cs="Arial"/>
          <w:szCs w:val="24"/>
        </w:rPr>
        <w:t xml:space="preserve">ADULT SERVICES </w:t>
      </w:r>
      <w:r w:rsidR="00FF4D4C">
        <w:rPr>
          <w:rFonts w:cs="Arial"/>
          <w:szCs w:val="24"/>
        </w:rPr>
        <w:t xml:space="preserve">SOLICITOR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F4D4C">
        <w:rPr>
          <w:rFonts w:cs="Arial"/>
          <w:szCs w:val="24"/>
        </w:rPr>
        <w:t>LEGAL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0B09B5">
        <w:rPr>
          <w:rFonts w:cs="Arial"/>
          <w:szCs w:val="24"/>
        </w:rPr>
        <w:t>BAND 13</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51238">
        <w:rPr>
          <w:rFonts w:cs="Arial"/>
          <w:szCs w:val="24"/>
        </w:rPr>
        <w:t>PRINCIPAL LITIGATION SOLICITOR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C46C16">
        <w:rPr>
          <w:rFonts w:cs="Arial"/>
          <w:szCs w:val="24"/>
        </w:rPr>
        <w:t>107657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F4D4C" w:rsidRPr="00FC543E" w:rsidRDefault="00FF4D4C" w:rsidP="00FF4D4C">
      <w:pPr>
        <w:tabs>
          <w:tab w:val="left" w:pos="851"/>
          <w:tab w:val="left" w:pos="3119"/>
        </w:tabs>
        <w:jc w:val="both"/>
        <w:rPr>
          <w:rFonts w:cs="Arial"/>
          <w:snapToGrid w:val="0"/>
        </w:rPr>
      </w:pPr>
      <w:r w:rsidRPr="00FC543E">
        <w:rPr>
          <w:rFonts w:cs="Arial"/>
          <w:snapToGrid w:val="0"/>
        </w:rPr>
        <w:t xml:space="preserve">To </w:t>
      </w:r>
      <w:r>
        <w:rPr>
          <w:rFonts w:cs="Arial"/>
          <w:snapToGrid w:val="0"/>
        </w:rPr>
        <w:t xml:space="preserve">assist in the provision of advice and </w:t>
      </w:r>
      <w:r w:rsidRPr="00FC543E">
        <w:rPr>
          <w:rFonts w:cs="Arial"/>
          <w:snapToGrid w:val="0"/>
        </w:rPr>
        <w:t>represent</w:t>
      </w:r>
      <w:r>
        <w:rPr>
          <w:rFonts w:cs="Arial"/>
          <w:snapToGrid w:val="0"/>
        </w:rPr>
        <w:t>ation of</w:t>
      </w:r>
      <w:r w:rsidRPr="00FC543E">
        <w:rPr>
          <w:rFonts w:cs="Arial"/>
          <w:snapToGrid w:val="0"/>
        </w:rPr>
        <w:t xml:space="preserve"> the Council in Child </w:t>
      </w:r>
      <w:r>
        <w:rPr>
          <w:rFonts w:cs="Arial"/>
          <w:snapToGrid w:val="0"/>
        </w:rPr>
        <w:t xml:space="preserve">and Adult Social </w:t>
      </w:r>
      <w:r w:rsidRPr="00FC543E">
        <w:rPr>
          <w:rFonts w:cs="Arial"/>
          <w:snapToGrid w:val="0"/>
        </w:rPr>
        <w:t>Care</w:t>
      </w:r>
      <w:r>
        <w:rPr>
          <w:rFonts w:cs="Arial"/>
          <w:snapToGrid w:val="0"/>
        </w:rPr>
        <w:t xml:space="preserve"> and related p</w:t>
      </w:r>
      <w:r w:rsidRPr="00FC543E">
        <w:rPr>
          <w:rFonts w:cs="Arial"/>
          <w:snapToGrid w:val="0"/>
        </w:rPr>
        <w:t>roceedings.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FF4D4C" w:rsidP="00FF4D4C">
      <w:pPr>
        <w:numPr>
          <w:ilvl w:val="0"/>
          <w:numId w:val="34"/>
        </w:numPr>
        <w:tabs>
          <w:tab w:val="left" w:pos="851"/>
          <w:tab w:val="left" w:pos="3119"/>
        </w:tabs>
        <w:jc w:val="both"/>
        <w:rPr>
          <w:snapToGrid w:val="0"/>
          <w:szCs w:val="24"/>
        </w:rPr>
      </w:pPr>
      <w:r>
        <w:rPr>
          <w:snapToGrid w:val="0"/>
          <w:szCs w:val="24"/>
        </w:rPr>
        <w:t>Chief Solicitor</w:t>
      </w:r>
    </w:p>
    <w:p w:rsidR="00FF4D4C" w:rsidRDefault="00351238" w:rsidP="00FF4D4C">
      <w:pPr>
        <w:numPr>
          <w:ilvl w:val="0"/>
          <w:numId w:val="34"/>
        </w:numPr>
        <w:tabs>
          <w:tab w:val="left" w:pos="851"/>
          <w:tab w:val="left" w:pos="3119"/>
        </w:tabs>
        <w:jc w:val="both"/>
        <w:rPr>
          <w:snapToGrid w:val="0"/>
          <w:szCs w:val="24"/>
        </w:rPr>
      </w:pPr>
      <w:r>
        <w:rPr>
          <w:snapToGrid w:val="0"/>
          <w:szCs w:val="24"/>
        </w:rPr>
        <w:t>Principal Litigation Solicitor</w:t>
      </w:r>
    </w:p>
    <w:p w:rsidR="00FF4D4C" w:rsidRDefault="00FF4D4C" w:rsidP="00FF4D4C">
      <w:pPr>
        <w:numPr>
          <w:ilvl w:val="0"/>
          <w:numId w:val="34"/>
        </w:numPr>
        <w:tabs>
          <w:tab w:val="left" w:pos="851"/>
          <w:tab w:val="left" w:pos="3119"/>
        </w:tabs>
        <w:jc w:val="both"/>
        <w:rPr>
          <w:snapToGrid w:val="0"/>
          <w:szCs w:val="24"/>
        </w:rPr>
      </w:pPr>
      <w:r>
        <w:rPr>
          <w:snapToGrid w:val="0"/>
          <w:szCs w:val="24"/>
        </w:rPr>
        <w:t>Legal Services staff</w:t>
      </w:r>
    </w:p>
    <w:p w:rsidR="00FF4D4C" w:rsidRDefault="00FF4D4C" w:rsidP="00FF4D4C">
      <w:pPr>
        <w:numPr>
          <w:ilvl w:val="0"/>
          <w:numId w:val="34"/>
        </w:numPr>
        <w:tabs>
          <w:tab w:val="left" w:pos="851"/>
          <w:tab w:val="left" w:pos="3119"/>
        </w:tabs>
        <w:jc w:val="both"/>
        <w:rPr>
          <w:snapToGrid w:val="0"/>
          <w:szCs w:val="24"/>
        </w:rPr>
      </w:pPr>
      <w:r>
        <w:rPr>
          <w:snapToGrid w:val="0"/>
          <w:szCs w:val="24"/>
        </w:rPr>
        <w:t>Child &amp; Adult Services Managers</w:t>
      </w:r>
    </w:p>
    <w:p w:rsidR="00FF4D4C" w:rsidRDefault="00FF4D4C" w:rsidP="00FF4D4C">
      <w:pPr>
        <w:numPr>
          <w:ilvl w:val="0"/>
          <w:numId w:val="34"/>
        </w:numPr>
        <w:tabs>
          <w:tab w:val="left" w:pos="851"/>
          <w:tab w:val="left" w:pos="3119"/>
        </w:tabs>
        <w:jc w:val="both"/>
        <w:rPr>
          <w:snapToGrid w:val="0"/>
          <w:szCs w:val="24"/>
        </w:rPr>
      </w:pPr>
      <w:r>
        <w:rPr>
          <w:snapToGrid w:val="0"/>
          <w:szCs w:val="24"/>
        </w:rPr>
        <w:t>Social Care staff</w:t>
      </w:r>
    </w:p>
    <w:p w:rsidR="007066B1" w:rsidRPr="00D75188" w:rsidRDefault="007066B1" w:rsidP="00FF4D4C">
      <w:pPr>
        <w:numPr>
          <w:ilvl w:val="0"/>
          <w:numId w:val="34"/>
        </w:numPr>
        <w:tabs>
          <w:tab w:val="left" w:pos="851"/>
          <w:tab w:val="left" w:pos="3119"/>
        </w:tabs>
        <w:jc w:val="both"/>
        <w:rPr>
          <w:snapToGrid w:val="0"/>
          <w:szCs w:val="24"/>
        </w:rPr>
      </w:pPr>
      <w:r>
        <w:rPr>
          <w:snapToGrid w:val="0"/>
          <w:szCs w:val="24"/>
        </w:rPr>
        <w:t>Courts and Tribunals</w:t>
      </w:r>
      <w:r w:rsidR="004D798E">
        <w:rPr>
          <w:snapToGrid w:val="0"/>
          <w:szCs w:val="24"/>
        </w:rPr>
        <w:t xml:space="preserve"> and related stakeholders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F4D4C" w:rsidRDefault="00FF4D4C" w:rsidP="00FF4D4C">
      <w:pPr>
        <w:tabs>
          <w:tab w:val="left" w:pos="567"/>
          <w:tab w:val="left" w:pos="3119"/>
        </w:tabs>
        <w:ind w:left="567" w:hanging="567"/>
        <w:jc w:val="both"/>
        <w:rPr>
          <w:rFonts w:cs="Arial"/>
          <w:snapToGrid w:val="0"/>
        </w:rPr>
      </w:pPr>
      <w:r w:rsidRPr="00FC543E">
        <w:rPr>
          <w:rFonts w:cs="Arial"/>
          <w:snapToGrid w:val="0"/>
        </w:rPr>
        <w:t>1.</w:t>
      </w:r>
      <w:r w:rsidRPr="00FC543E">
        <w:rPr>
          <w:rFonts w:cs="Arial"/>
          <w:snapToGrid w:val="0"/>
        </w:rPr>
        <w:tab/>
        <w:t>Representation of the Council in all proceedings relating to children</w:t>
      </w:r>
      <w:r>
        <w:rPr>
          <w:rFonts w:cs="Arial"/>
          <w:snapToGrid w:val="0"/>
        </w:rPr>
        <w:t xml:space="preserve"> and adult social services, including</w:t>
      </w:r>
      <w:r w:rsidRPr="00FC543E">
        <w:rPr>
          <w:rFonts w:cs="Arial"/>
          <w:snapToGrid w:val="0"/>
        </w:rPr>
        <w:t xml:space="preserve"> arranging representation of the Council in superior courts in respect of relevant proceedings and the provision </w:t>
      </w:r>
      <w:r>
        <w:rPr>
          <w:rFonts w:cs="Arial"/>
          <w:snapToGrid w:val="0"/>
        </w:rPr>
        <w:t xml:space="preserve">of advice </w:t>
      </w:r>
      <w:r w:rsidRPr="00FC543E">
        <w:rPr>
          <w:rFonts w:cs="Arial"/>
          <w:snapToGrid w:val="0"/>
        </w:rPr>
        <w:t xml:space="preserve">to the </w:t>
      </w:r>
      <w:r>
        <w:rPr>
          <w:rFonts w:cs="Arial"/>
          <w:snapToGrid w:val="0"/>
        </w:rPr>
        <w:t>Department of Child and Adult Services</w:t>
      </w:r>
      <w:r w:rsidRPr="00FC543E">
        <w:rPr>
          <w:rFonts w:cs="Arial"/>
          <w:snapToGrid w:val="0"/>
        </w:rPr>
        <w:t xml:space="preserve"> and any other relevant department of the Council in respect of legal matters relating to children</w:t>
      </w:r>
      <w:r>
        <w:rPr>
          <w:rFonts w:cs="Arial"/>
          <w:snapToGrid w:val="0"/>
        </w:rPr>
        <w:t xml:space="preserve"> and adult social care (including by way of example, corporate parenting, education, mental health)  </w:t>
      </w:r>
      <w:r w:rsidRPr="00FC543E">
        <w:rPr>
          <w:rFonts w:cs="Arial"/>
          <w:snapToGrid w:val="0"/>
        </w:rPr>
        <w:t xml:space="preserve"> and related issues</w:t>
      </w:r>
      <w:r>
        <w:rPr>
          <w:rFonts w:cs="Arial"/>
          <w:snapToGrid w:val="0"/>
        </w:rPr>
        <w:t>.</w:t>
      </w:r>
      <w:r w:rsidRPr="00FC543E">
        <w:rPr>
          <w:rFonts w:cs="Arial"/>
          <w:snapToGrid w:val="0"/>
        </w:rPr>
        <w:t xml:space="preserve"> </w:t>
      </w:r>
    </w:p>
    <w:p w:rsidR="00FF4D4C" w:rsidRDefault="00FF4D4C" w:rsidP="00FF4D4C">
      <w:pPr>
        <w:tabs>
          <w:tab w:val="left" w:pos="567"/>
          <w:tab w:val="left" w:pos="3119"/>
        </w:tabs>
        <w:ind w:left="567" w:hanging="567"/>
        <w:jc w:val="both"/>
        <w:rPr>
          <w:rFonts w:cs="Arial"/>
          <w:snapToGrid w:val="0"/>
        </w:rPr>
      </w:pPr>
    </w:p>
    <w:p w:rsidR="00FF4D4C" w:rsidRPr="00FC543E" w:rsidRDefault="00FF4D4C" w:rsidP="00FF4D4C">
      <w:pPr>
        <w:tabs>
          <w:tab w:val="left" w:pos="567"/>
          <w:tab w:val="left" w:pos="3119"/>
        </w:tabs>
        <w:ind w:left="567" w:hanging="567"/>
        <w:jc w:val="both"/>
        <w:rPr>
          <w:rFonts w:cs="Arial"/>
          <w:snapToGrid w:val="0"/>
        </w:rPr>
      </w:pPr>
      <w:r w:rsidRPr="00FC543E">
        <w:rPr>
          <w:rFonts w:cs="Arial"/>
          <w:snapToGrid w:val="0"/>
        </w:rPr>
        <w:lastRenderedPageBreak/>
        <w:t>2.</w:t>
      </w:r>
      <w:r w:rsidRPr="00FC543E">
        <w:rPr>
          <w:rFonts w:cs="Arial"/>
          <w:snapToGrid w:val="0"/>
        </w:rPr>
        <w:tab/>
        <w:t xml:space="preserve">To represent the </w:t>
      </w:r>
      <w:r w:rsidR="007066B1">
        <w:rPr>
          <w:rFonts w:cs="Arial"/>
          <w:snapToGrid w:val="0"/>
        </w:rPr>
        <w:t xml:space="preserve">Chief Solicitor or </w:t>
      </w:r>
      <w:r w:rsidR="00351238">
        <w:rPr>
          <w:rFonts w:cs="Arial"/>
          <w:snapToGrid w:val="0"/>
        </w:rPr>
        <w:t xml:space="preserve">Principal Litigation Solicitor </w:t>
      </w:r>
      <w:r w:rsidRPr="00FC543E">
        <w:rPr>
          <w:rFonts w:cs="Arial"/>
          <w:snapToGrid w:val="0"/>
        </w:rPr>
        <w:t xml:space="preserve">at such </w:t>
      </w:r>
      <w:r>
        <w:rPr>
          <w:rFonts w:cs="Arial"/>
          <w:snapToGrid w:val="0"/>
        </w:rPr>
        <w:t>c</w:t>
      </w:r>
      <w:r w:rsidRPr="00FC543E">
        <w:rPr>
          <w:rFonts w:cs="Arial"/>
          <w:snapToGrid w:val="0"/>
        </w:rPr>
        <w:t>ommittees, sub-committees, working groups, consultative groups or other meetings relative to the care</w:t>
      </w:r>
      <w:r>
        <w:rPr>
          <w:rFonts w:cs="Arial"/>
          <w:snapToGrid w:val="0"/>
        </w:rPr>
        <w:t xml:space="preserve"> and safeguarding </w:t>
      </w:r>
      <w:r w:rsidRPr="00FC543E">
        <w:rPr>
          <w:rFonts w:cs="Arial"/>
          <w:snapToGrid w:val="0"/>
        </w:rPr>
        <w:t>of children and</w:t>
      </w:r>
      <w:r>
        <w:rPr>
          <w:rFonts w:cs="Arial"/>
          <w:snapToGrid w:val="0"/>
        </w:rPr>
        <w:t xml:space="preserve"> vulnerable adults</w:t>
      </w:r>
      <w:r w:rsidRPr="00FC543E">
        <w:rPr>
          <w:rFonts w:cs="Arial"/>
          <w:snapToGrid w:val="0"/>
        </w:rPr>
        <w:t xml:space="preserve"> at which it may be appropriate that the </w:t>
      </w:r>
      <w:r w:rsidR="007066B1">
        <w:rPr>
          <w:rFonts w:cs="Arial"/>
          <w:snapToGrid w:val="0"/>
        </w:rPr>
        <w:t xml:space="preserve">Chief Solicitor or </w:t>
      </w:r>
      <w:r w:rsidR="00351238">
        <w:rPr>
          <w:rFonts w:cs="Arial"/>
          <w:snapToGrid w:val="0"/>
        </w:rPr>
        <w:t>Principal Litigation Solicitor</w:t>
      </w:r>
      <w:r>
        <w:rPr>
          <w:rFonts w:cs="Arial"/>
          <w:snapToGrid w:val="0"/>
        </w:rPr>
        <w:t xml:space="preserve"> </w:t>
      </w:r>
      <w:r w:rsidRPr="00FC543E">
        <w:rPr>
          <w:rFonts w:cs="Arial"/>
          <w:snapToGrid w:val="0"/>
        </w:rPr>
        <w:t>be represented.</w:t>
      </w:r>
    </w:p>
    <w:p w:rsidR="00FF4D4C" w:rsidRPr="00FC543E" w:rsidRDefault="00FF4D4C" w:rsidP="00FF4D4C">
      <w:pPr>
        <w:tabs>
          <w:tab w:val="left" w:pos="567"/>
          <w:tab w:val="left" w:pos="3119"/>
        </w:tabs>
        <w:ind w:left="567" w:hanging="567"/>
        <w:jc w:val="both"/>
        <w:rPr>
          <w:rFonts w:cs="Arial"/>
          <w:snapToGrid w:val="0"/>
        </w:rPr>
      </w:pPr>
    </w:p>
    <w:p w:rsidR="00FF4D4C" w:rsidRPr="00FC543E" w:rsidRDefault="00E65479" w:rsidP="00FF4D4C">
      <w:pPr>
        <w:tabs>
          <w:tab w:val="left" w:pos="567"/>
          <w:tab w:val="left" w:pos="3119"/>
        </w:tabs>
        <w:ind w:left="567" w:hanging="567"/>
        <w:jc w:val="both"/>
        <w:rPr>
          <w:rFonts w:cs="Arial"/>
          <w:snapToGrid w:val="0"/>
        </w:rPr>
      </w:pPr>
      <w:r>
        <w:rPr>
          <w:rFonts w:cs="Arial"/>
          <w:snapToGrid w:val="0"/>
        </w:rPr>
        <w:t>3.</w:t>
      </w:r>
      <w:r>
        <w:rPr>
          <w:rFonts w:cs="Arial"/>
          <w:snapToGrid w:val="0"/>
        </w:rPr>
        <w:tab/>
        <w:t>As directed by</w:t>
      </w:r>
      <w:r w:rsidR="007066B1">
        <w:rPr>
          <w:rFonts w:cs="Arial"/>
          <w:snapToGrid w:val="0"/>
        </w:rPr>
        <w:t xml:space="preserve"> the </w:t>
      </w:r>
      <w:r w:rsidR="00351238">
        <w:rPr>
          <w:rFonts w:cs="Arial"/>
          <w:snapToGrid w:val="0"/>
        </w:rPr>
        <w:t>Principal Litigation Solicitor</w:t>
      </w:r>
      <w:r w:rsidR="00FF4D4C">
        <w:rPr>
          <w:rFonts w:cs="Arial"/>
          <w:snapToGrid w:val="0"/>
        </w:rPr>
        <w:t xml:space="preserve"> </w:t>
      </w:r>
      <w:r>
        <w:rPr>
          <w:rFonts w:cs="Arial"/>
          <w:snapToGrid w:val="0"/>
        </w:rPr>
        <w:t xml:space="preserve">formulate, develop, and review </w:t>
      </w:r>
      <w:r w:rsidR="00FF4D4C" w:rsidRPr="00FC543E">
        <w:rPr>
          <w:rFonts w:cs="Arial"/>
          <w:snapToGrid w:val="0"/>
        </w:rPr>
        <w:t xml:space="preserve">policy and practice </w:t>
      </w:r>
      <w:r>
        <w:rPr>
          <w:rFonts w:cs="Arial"/>
          <w:snapToGrid w:val="0"/>
        </w:rPr>
        <w:t>in the specialist area of service operation</w:t>
      </w:r>
      <w:r w:rsidR="00FF4D4C" w:rsidRPr="00FC543E">
        <w:rPr>
          <w:rFonts w:cs="Arial"/>
          <w:snapToGrid w:val="0"/>
        </w:rPr>
        <w:t>.</w:t>
      </w:r>
    </w:p>
    <w:p w:rsidR="00FF4D4C" w:rsidRPr="00FC543E" w:rsidRDefault="00FF4D4C" w:rsidP="00FF4D4C">
      <w:pPr>
        <w:tabs>
          <w:tab w:val="left" w:pos="567"/>
          <w:tab w:val="left" w:pos="3119"/>
        </w:tabs>
        <w:ind w:left="567" w:hanging="567"/>
        <w:jc w:val="both"/>
        <w:rPr>
          <w:rFonts w:cs="Arial"/>
          <w:snapToGrid w:val="0"/>
        </w:rPr>
      </w:pPr>
    </w:p>
    <w:p w:rsidR="00FF4D4C" w:rsidRDefault="00FF4D4C" w:rsidP="00FF4D4C">
      <w:pPr>
        <w:tabs>
          <w:tab w:val="left" w:pos="567"/>
          <w:tab w:val="left" w:pos="3119"/>
        </w:tabs>
        <w:ind w:left="567" w:hanging="567"/>
        <w:jc w:val="both"/>
        <w:rPr>
          <w:rFonts w:cs="Arial"/>
          <w:snapToGrid w:val="0"/>
        </w:rPr>
      </w:pPr>
      <w:r w:rsidRPr="00FC543E">
        <w:rPr>
          <w:rFonts w:cs="Arial"/>
          <w:snapToGrid w:val="0"/>
        </w:rPr>
        <w:t>4.</w:t>
      </w:r>
      <w:r w:rsidRPr="00FC543E">
        <w:rPr>
          <w:rFonts w:cs="Arial"/>
          <w:snapToGrid w:val="0"/>
        </w:rPr>
        <w:tab/>
        <w:t>To extend the benefits of the post-holders qualifications and experience by the provision of such instruction, guidance, support and advice to junior members of staff, including trainees as may be necessary or desirable from time to time.</w:t>
      </w:r>
    </w:p>
    <w:p w:rsidR="00FF4D4C" w:rsidRDefault="00FF4D4C" w:rsidP="00FF4D4C">
      <w:pPr>
        <w:tabs>
          <w:tab w:val="left" w:pos="567"/>
          <w:tab w:val="left" w:pos="3119"/>
        </w:tabs>
        <w:ind w:left="567" w:hanging="567"/>
        <w:jc w:val="both"/>
        <w:rPr>
          <w:rFonts w:cs="Arial"/>
          <w:snapToGrid w:val="0"/>
        </w:rPr>
      </w:pPr>
    </w:p>
    <w:p w:rsidR="00FF4D4C" w:rsidRDefault="00FF4D4C" w:rsidP="00FF4D4C">
      <w:pPr>
        <w:tabs>
          <w:tab w:val="left" w:pos="567"/>
          <w:tab w:val="left" w:pos="3119"/>
        </w:tabs>
        <w:ind w:left="567" w:hanging="567"/>
        <w:jc w:val="both"/>
        <w:rPr>
          <w:rFonts w:cs="Arial"/>
          <w:snapToGrid w:val="0"/>
        </w:rPr>
      </w:pPr>
      <w:r w:rsidRPr="00FC543E">
        <w:rPr>
          <w:rFonts w:cs="Arial"/>
          <w:snapToGrid w:val="0"/>
        </w:rPr>
        <w:t>5.</w:t>
      </w:r>
      <w:r w:rsidRPr="00FC543E">
        <w:rPr>
          <w:rFonts w:cs="Arial"/>
          <w:snapToGrid w:val="0"/>
        </w:rPr>
        <w:tab/>
      </w:r>
      <w:r>
        <w:rPr>
          <w:rFonts w:cs="Arial"/>
          <w:snapToGrid w:val="0"/>
        </w:rPr>
        <w:t xml:space="preserve">To support the </w:t>
      </w:r>
      <w:r w:rsidR="00351238">
        <w:rPr>
          <w:rFonts w:cs="Arial"/>
          <w:snapToGrid w:val="0"/>
        </w:rPr>
        <w:t xml:space="preserve">Principal Litigation Solicitor </w:t>
      </w:r>
      <w:r>
        <w:rPr>
          <w:rFonts w:cs="Arial"/>
          <w:snapToGrid w:val="0"/>
        </w:rPr>
        <w:t>in the provision of a strategic, responsive and proactive service through the establishment and maintenance of effective working relationships with clients and stakeholders.</w:t>
      </w:r>
    </w:p>
    <w:p w:rsidR="00152777" w:rsidRPr="00D75188" w:rsidRDefault="00152777" w:rsidP="00152777">
      <w:pPr>
        <w:rPr>
          <w:szCs w:val="24"/>
        </w:rPr>
      </w:pPr>
    </w:p>
    <w:p w:rsidR="00FF4D4C" w:rsidRPr="00FC543E" w:rsidRDefault="00FF4D4C" w:rsidP="00FF4D4C">
      <w:pPr>
        <w:tabs>
          <w:tab w:val="left" w:pos="567"/>
          <w:tab w:val="left" w:pos="3119"/>
        </w:tabs>
        <w:ind w:left="567" w:hanging="567"/>
        <w:jc w:val="both"/>
        <w:rPr>
          <w:rFonts w:cs="Arial"/>
          <w:snapToGrid w:val="0"/>
        </w:rPr>
      </w:pPr>
      <w:r w:rsidRPr="00FC543E">
        <w:rPr>
          <w:rFonts w:cs="Arial"/>
          <w:snapToGrid w:val="0"/>
        </w:rPr>
        <w:t>6.</w:t>
      </w:r>
      <w:r w:rsidRPr="00FC543E">
        <w:rPr>
          <w:rFonts w:cs="Arial"/>
          <w:snapToGrid w:val="0"/>
        </w:rPr>
        <w:tab/>
        <w:t xml:space="preserve">To undertake any other duties of a related nature which might reasonably be required and allocated by the </w:t>
      </w:r>
      <w:r w:rsidR="00351238">
        <w:rPr>
          <w:rFonts w:cs="Arial"/>
          <w:snapToGrid w:val="0"/>
        </w:rPr>
        <w:t>Principal Litigation Solicitor.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51238">
        <w:rPr>
          <w:szCs w:val="24"/>
        </w:rPr>
        <w:t>March 2021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3A" w:rsidRDefault="002B0E3A" w:rsidP="00E95911">
      <w:r>
        <w:separator/>
      </w:r>
    </w:p>
  </w:endnote>
  <w:endnote w:type="continuationSeparator" w:id="0">
    <w:p w:rsidR="002B0E3A" w:rsidRDefault="002B0E3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3E0BA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8D44DF">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3A" w:rsidRDefault="002B0E3A" w:rsidP="00E95911">
      <w:r>
        <w:separator/>
      </w:r>
    </w:p>
  </w:footnote>
  <w:footnote w:type="continuationSeparator" w:id="0">
    <w:p w:rsidR="002B0E3A" w:rsidRDefault="002B0E3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8D44DF"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B6819"/>
    <w:multiLevelType w:val="hybridMultilevel"/>
    <w:tmpl w:val="C3D6A2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09B5"/>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0E3A"/>
    <w:rsid w:val="002B247A"/>
    <w:rsid w:val="002B46F4"/>
    <w:rsid w:val="002B61EF"/>
    <w:rsid w:val="002B7C95"/>
    <w:rsid w:val="002C402C"/>
    <w:rsid w:val="002D0AF4"/>
    <w:rsid w:val="002E5095"/>
    <w:rsid w:val="002F1465"/>
    <w:rsid w:val="003163AD"/>
    <w:rsid w:val="003338E9"/>
    <w:rsid w:val="00334DD7"/>
    <w:rsid w:val="00351238"/>
    <w:rsid w:val="00361886"/>
    <w:rsid w:val="00374B52"/>
    <w:rsid w:val="00384D6A"/>
    <w:rsid w:val="003A749B"/>
    <w:rsid w:val="003B5DB0"/>
    <w:rsid w:val="003B7D47"/>
    <w:rsid w:val="003D58C9"/>
    <w:rsid w:val="003E0BA7"/>
    <w:rsid w:val="004536B9"/>
    <w:rsid w:val="00456098"/>
    <w:rsid w:val="0045614E"/>
    <w:rsid w:val="00473759"/>
    <w:rsid w:val="004744A5"/>
    <w:rsid w:val="004925E1"/>
    <w:rsid w:val="004B29DE"/>
    <w:rsid w:val="004D3BBC"/>
    <w:rsid w:val="004D798E"/>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979E1"/>
    <w:rsid w:val="006A56E9"/>
    <w:rsid w:val="006A6C8F"/>
    <w:rsid w:val="006B3C9F"/>
    <w:rsid w:val="006D736C"/>
    <w:rsid w:val="006D76B4"/>
    <w:rsid w:val="006E247A"/>
    <w:rsid w:val="006E67BC"/>
    <w:rsid w:val="006E6AAA"/>
    <w:rsid w:val="007066B1"/>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D44DF"/>
    <w:rsid w:val="008E01EE"/>
    <w:rsid w:val="008E1242"/>
    <w:rsid w:val="009346BA"/>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552C2"/>
    <w:rsid w:val="00A64CA3"/>
    <w:rsid w:val="00A70E2F"/>
    <w:rsid w:val="00A85146"/>
    <w:rsid w:val="00A919C8"/>
    <w:rsid w:val="00AA4773"/>
    <w:rsid w:val="00AF030F"/>
    <w:rsid w:val="00AF5AEC"/>
    <w:rsid w:val="00B839B7"/>
    <w:rsid w:val="00B83FB3"/>
    <w:rsid w:val="00B910E1"/>
    <w:rsid w:val="00BA3955"/>
    <w:rsid w:val="00BC0584"/>
    <w:rsid w:val="00BD7BF4"/>
    <w:rsid w:val="00C3671E"/>
    <w:rsid w:val="00C36900"/>
    <w:rsid w:val="00C36B1E"/>
    <w:rsid w:val="00C46C16"/>
    <w:rsid w:val="00C57C70"/>
    <w:rsid w:val="00C63B12"/>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0701D"/>
    <w:rsid w:val="00E35634"/>
    <w:rsid w:val="00E578B5"/>
    <w:rsid w:val="00E65479"/>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 w:val="00FF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65D742-5499-4634-8287-2AFE5598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styleId="CommentReference">
    <w:name w:val="annotation reference"/>
    <w:basedOn w:val="DefaultParagraphFont"/>
    <w:rsid w:val="004D798E"/>
    <w:rPr>
      <w:sz w:val="16"/>
      <w:szCs w:val="16"/>
    </w:rPr>
  </w:style>
  <w:style w:type="paragraph" w:styleId="CommentText">
    <w:name w:val="annotation text"/>
    <w:basedOn w:val="Normal"/>
    <w:link w:val="CommentTextChar"/>
    <w:rsid w:val="004D798E"/>
    <w:rPr>
      <w:sz w:val="20"/>
    </w:rPr>
  </w:style>
  <w:style w:type="character" w:customStyle="1" w:styleId="CommentTextChar">
    <w:name w:val="Comment Text Char"/>
    <w:basedOn w:val="DefaultParagraphFont"/>
    <w:link w:val="CommentText"/>
    <w:rsid w:val="004D798E"/>
    <w:rPr>
      <w:rFonts w:ascii="Arial" w:hAnsi="Arial"/>
      <w:lang w:eastAsia="en-US"/>
    </w:rPr>
  </w:style>
  <w:style w:type="paragraph" w:styleId="CommentSubject">
    <w:name w:val="annotation subject"/>
    <w:basedOn w:val="CommentText"/>
    <w:next w:val="CommentText"/>
    <w:link w:val="CommentSubjectChar"/>
    <w:rsid w:val="004D798E"/>
    <w:rPr>
      <w:b/>
      <w:bCs/>
    </w:rPr>
  </w:style>
  <w:style w:type="character" w:customStyle="1" w:styleId="CommentSubjectChar">
    <w:name w:val="Comment Subject Char"/>
    <w:basedOn w:val="CommentTextChar"/>
    <w:link w:val="CommentSubject"/>
    <w:rsid w:val="004D798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2014-04-01T11:49:00Z</cp:lastPrinted>
  <dcterms:created xsi:type="dcterms:W3CDTF">2021-03-25T15:53:00Z</dcterms:created>
  <dcterms:modified xsi:type="dcterms:W3CDTF">2021-03-25T15:53:00Z</dcterms:modified>
</cp:coreProperties>
</file>