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70c0"/>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Description</w:t>
      </w:r>
    </w:p>
    <w:tbl>
      <w:tblPr>
        <w:tblStyle w:val="Table1"/>
        <w:tblW w:w="91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7145"/>
        <w:tblGridChange w:id="0">
          <w:tblGrid>
            <w:gridCol w:w="2010"/>
            <w:gridCol w:w="7145"/>
          </w:tblGrid>
        </w:tblGridChange>
      </w:tblGrid>
      <w:tr>
        <w:trPr>
          <w:trHeight w:val="440" w:hRule="atLeast"/>
        </w:trPr>
        <w:tc>
          <w:tcPr/>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w:t>
            </w:r>
          </w:p>
        </w:tc>
        <w:tc>
          <w:tcPr/>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Teaching Assistant (Entry Level)</w:t>
            </w:r>
          </w:p>
        </w:tc>
      </w:tr>
      <w:tr>
        <w:trPr>
          <w:trHeight w:val="440" w:hRule="atLeast"/>
        </w:trPr>
        <w:tc>
          <w:tcPr/>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w:t>
            </w:r>
          </w:p>
        </w:tc>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trHeight w:val="414" w:hRule="atLeast"/>
        </w:trPr>
        <w:tc>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Location:</w:t>
            </w:r>
          </w:p>
        </w:tc>
        <w:tc>
          <w:tcPr/>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Burnopfield Primary School</w:t>
            </w:r>
          </w:p>
        </w:tc>
      </w:tr>
      <w:tr>
        <w:trPr>
          <w:trHeight w:val="440" w:hRule="atLeast"/>
        </w:trPr>
        <w:tc>
          <w:tcPr/>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Responsible to:</w:t>
            </w:r>
          </w:p>
        </w:tc>
        <w:tc>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Head Teacher/Senior Manager/SENCO/HLTA</w:t>
            </w:r>
          </w:p>
        </w:tc>
      </w:tr>
      <w:tr>
        <w:trPr>
          <w:trHeight w:val="440" w:hRule="atLeast"/>
        </w:trPr>
        <w:tc>
          <w:tcPr/>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Purpose: </w:t>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To work under the instruction/guidance of senior/teaching staff to support the delivery of quality learning and teaching and to help raise standards of achievement for all pupils;</w:t>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To encourage the participation of pupils in the social and academic processes of the school, and enable pupils to become more independent learners.</w:t>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To undertake work/care/support programmes to enable access to learning for pupils and to assist the teacher in the management of pupils and the classroom.</w:t>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To provide one to one support for a pupil in EYFS with specific additional needs.</w:t>
            </w:r>
          </w:p>
        </w:tc>
      </w:tr>
    </w:tbl>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and Responsibilities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for Pupils, Teachers and the Curriculum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in partnership with teachers and other professional agencies to provide effective support with learning activities;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Awareness of and work within school policies and procedures;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pupils to understand instructions, support independent learning and inclusion of all pupils;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planning and evaluation of learning activities with the teacher, providing feedback to the teacher on pupil progress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teacher in behaviour management and keeping pupils on task based on the expectations for individual pupils;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learning by arranging/providing resources for lessons/activities under the direction of the teacher;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work of volunteers and other teaching assistants in the classroom;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use of ICT in the curriculum;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in escorting and supervising pupils on educational visits and out of school activities where appropriate;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with the supervision of pupils out of lesson times, including before and after school and at lunchtimes but not as a supervisory assistant;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children’s learning through play and planned learning activities;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of a clean, safe and tidy learning environment;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pupils in developing and implementing their own personal and social development;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pupils with eating, dressing and hygiene, as required, whilst encouraging independence;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emergency basic first aid if appropriate, ensuring timely referral to health professionals where necessary.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and present displays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 for the School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aware of and comply with policies and procedures relating to safeguarding/child protection, confidentiality and data protection, reporting all concerns to an appropriate person; </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a duty of care to pupils and staff, and take appropriate action to comply with health and safety requirements at all times; </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aware of and support difference and ensure that all pupils have access to opportunities to learn and develop; </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Contribute to the overall ethos, work and aims of the school; </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good relationships with colleagues and work together as a team. </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Appreciate and support the role of other professionals; </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relevant meetings as required; </w:t>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training and other learning activities and performance development as required; </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and promote commitment to equal opportunities and to the elimination of behaviour and practices that could be discriminatory.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above is not exhaustive and the post holder will be expected to undertake any duties which may reasonably fall within the level of responsibility and the competence of the post as directed by the Head Teachers.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319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0F09DD"/>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yh7Axlkekvvn5GsApLN/1ovw==">AMUW2mX9gglf+AkXs6HYnGdCzSCcdD1/HJ5ml+kUna4N6791+ZiZNg5aDmS4q1AoU1/JQ9lHV5Kpik8/aoLj7uZ8ZBlUiWWfpTodE7mUhYgSmkrPm4y+jQw=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2021-04-29T13:54:00Z</dcterms:created>
  <dc:creator>student12</dc:creator>
</cp:coreProperties>
</file>