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E05D1C"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E05D1C" w:rsidRDefault="007C7799" w:rsidP="00D70625">
            <w:pPr>
              <w:rPr>
                <w:rFonts w:cs="Arial"/>
                <w:b/>
                <w:sz w:val="22"/>
              </w:rPr>
            </w:pPr>
            <w:r w:rsidRPr="00E05D1C">
              <w:rPr>
                <w:rFonts w:cs="Arial"/>
                <w:b/>
                <w:noProof/>
                <w:sz w:val="22"/>
                <w:lang w:eastAsia="en-GB"/>
              </w:rPr>
              <w:t>Job Description</w:t>
            </w:r>
          </w:p>
        </w:tc>
      </w:tr>
      <w:tr w:rsidR="00845787" w:rsidRPr="00E05D1C"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E05D1C" w:rsidRDefault="007C7799" w:rsidP="00D70625">
            <w:pPr>
              <w:rPr>
                <w:rFonts w:cs="Arial"/>
                <w:b/>
                <w:sz w:val="22"/>
              </w:rPr>
            </w:pPr>
            <w:r w:rsidRPr="00E05D1C">
              <w:rPr>
                <w:rFonts w:cs="Arial"/>
                <w:b/>
                <w:sz w:val="22"/>
              </w:rPr>
              <w:t>Post t</w:t>
            </w:r>
            <w:r w:rsidR="00845787" w:rsidRPr="00E05D1C">
              <w:rPr>
                <w:rFonts w:cs="Arial"/>
                <w:b/>
                <w:sz w:val="22"/>
              </w:rPr>
              <w:t>itle</w:t>
            </w:r>
          </w:p>
        </w:tc>
        <w:tc>
          <w:tcPr>
            <w:tcW w:w="7933" w:type="dxa"/>
            <w:vAlign w:val="center"/>
          </w:tcPr>
          <w:p w14:paraId="0EF05B97" w14:textId="77777777" w:rsidR="001368CE" w:rsidRPr="00E05D1C" w:rsidRDefault="001368CE" w:rsidP="001368CE">
            <w:pPr>
              <w:tabs>
                <w:tab w:val="left" w:pos="1134"/>
                <w:tab w:val="left" w:pos="4253"/>
              </w:tabs>
              <w:rPr>
                <w:rFonts w:cs="Arial"/>
                <w:b/>
                <w:bCs/>
                <w:sz w:val="22"/>
              </w:rPr>
            </w:pPr>
            <w:r w:rsidRPr="00E05D1C">
              <w:rPr>
                <w:rFonts w:cs="Arial"/>
                <w:b/>
                <w:bCs/>
                <w:sz w:val="22"/>
              </w:rPr>
              <w:t>Consultant Social Worker</w:t>
            </w:r>
          </w:p>
          <w:p w14:paraId="6327AE2B" w14:textId="77777777" w:rsidR="00845787" w:rsidRPr="00E05D1C" w:rsidRDefault="00845787" w:rsidP="00D70625">
            <w:pPr>
              <w:rPr>
                <w:rFonts w:cs="Arial"/>
                <w:sz w:val="22"/>
              </w:rPr>
            </w:pPr>
          </w:p>
        </w:tc>
      </w:tr>
      <w:tr w:rsidR="00845787" w:rsidRPr="00E05D1C"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E05D1C" w:rsidRDefault="00BF483E" w:rsidP="00D70625">
            <w:pPr>
              <w:rPr>
                <w:rFonts w:cs="Arial"/>
                <w:b/>
                <w:sz w:val="22"/>
              </w:rPr>
            </w:pPr>
            <w:r w:rsidRPr="00E05D1C">
              <w:rPr>
                <w:rFonts w:cs="Arial"/>
                <w:b/>
                <w:sz w:val="22"/>
              </w:rPr>
              <w:t>JE Reference No</w:t>
            </w:r>
          </w:p>
        </w:tc>
        <w:tc>
          <w:tcPr>
            <w:tcW w:w="7933" w:type="dxa"/>
            <w:vAlign w:val="center"/>
          </w:tcPr>
          <w:p w14:paraId="5514056C" w14:textId="279BE9F6" w:rsidR="00137582" w:rsidRPr="00E05D1C" w:rsidRDefault="00137582" w:rsidP="00137582">
            <w:pPr>
              <w:tabs>
                <w:tab w:val="left" w:pos="1134"/>
                <w:tab w:val="left" w:pos="4253"/>
              </w:tabs>
              <w:rPr>
                <w:rFonts w:cs="Arial"/>
                <w:b/>
                <w:bCs/>
                <w:sz w:val="22"/>
              </w:rPr>
            </w:pPr>
            <w:r w:rsidRPr="00E05D1C">
              <w:rPr>
                <w:rFonts w:cs="Arial"/>
                <w:b/>
                <w:bCs/>
                <w:sz w:val="22"/>
              </w:rPr>
              <w:t xml:space="preserve"> A5842</w:t>
            </w:r>
          </w:p>
          <w:p w14:paraId="03EF668E" w14:textId="77777777" w:rsidR="00845787" w:rsidRPr="00E05D1C" w:rsidRDefault="00845787" w:rsidP="00D70625">
            <w:pPr>
              <w:rPr>
                <w:rFonts w:cs="Arial"/>
                <w:sz w:val="22"/>
              </w:rPr>
            </w:pPr>
          </w:p>
        </w:tc>
      </w:tr>
      <w:tr w:rsidR="00845787" w:rsidRPr="00E05D1C"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E05D1C" w:rsidRDefault="00845787" w:rsidP="00D70625">
            <w:pPr>
              <w:rPr>
                <w:rFonts w:cs="Arial"/>
                <w:b/>
                <w:sz w:val="22"/>
              </w:rPr>
            </w:pPr>
            <w:r w:rsidRPr="00E05D1C">
              <w:rPr>
                <w:rFonts w:cs="Arial"/>
                <w:b/>
                <w:sz w:val="22"/>
              </w:rPr>
              <w:t>Grade</w:t>
            </w:r>
          </w:p>
        </w:tc>
        <w:tc>
          <w:tcPr>
            <w:tcW w:w="7933" w:type="dxa"/>
            <w:vAlign w:val="center"/>
          </w:tcPr>
          <w:p w14:paraId="6D1407B9" w14:textId="77777777" w:rsidR="00BE63F4" w:rsidRPr="00E05D1C" w:rsidRDefault="00BE63F4" w:rsidP="00BE63F4">
            <w:pPr>
              <w:tabs>
                <w:tab w:val="left" w:pos="1134"/>
                <w:tab w:val="left" w:pos="4253"/>
              </w:tabs>
              <w:rPr>
                <w:rFonts w:cs="Arial"/>
                <w:b/>
                <w:bCs/>
                <w:sz w:val="22"/>
              </w:rPr>
            </w:pPr>
            <w:r w:rsidRPr="00E05D1C">
              <w:rPr>
                <w:rFonts w:cs="Arial"/>
                <w:b/>
                <w:bCs/>
                <w:sz w:val="22"/>
              </w:rPr>
              <w:t>Grade 14</w:t>
            </w:r>
          </w:p>
          <w:p w14:paraId="37837377" w14:textId="77777777" w:rsidR="00845787" w:rsidRPr="00E05D1C" w:rsidRDefault="00845787" w:rsidP="00D70625">
            <w:pPr>
              <w:rPr>
                <w:rFonts w:cs="Arial"/>
                <w:sz w:val="22"/>
              </w:rPr>
            </w:pPr>
          </w:p>
        </w:tc>
      </w:tr>
      <w:tr w:rsidR="00845787" w:rsidRPr="00E05D1C"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E05D1C" w:rsidRDefault="00845787" w:rsidP="00D70625">
            <w:pPr>
              <w:rPr>
                <w:rFonts w:cs="Arial"/>
                <w:b/>
                <w:sz w:val="22"/>
              </w:rPr>
            </w:pPr>
            <w:r w:rsidRPr="00E05D1C">
              <w:rPr>
                <w:rFonts w:cs="Arial"/>
                <w:b/>
                <w:sz w:val="22"/>
              </w:rPr>
              <w:t>Service</w:t>
            </w:r>
          </w:p>
        </w:tc>
        <w:tc>
          <w:tcPr>
            <w:tcW w:w="7933" w:type="dxa"/>
            <w:vAlign w:val="center"/>
          </w:tcPr>
          <w:p w14:paraId="74387D02" w14:textId="33BAFF2E" w:rsidR="00845787" w:rsidRPr="00E05D1C" w:rsidRDefault="00BE63F4" w:rsidP="00D70625">
            <w:pPr>
              <w:rPr>
                <w:rFonts w:cs="Arial"/>
                <w:sz w:val="22"/>
              </w:rPr>
            </w:pPr>
            <w:r w:rsidRPr="00E05D1C">
              <w:rPr>
                <w:rFonts w:cs="Arial"/>
                <w:sz w:val="22"/>
              </w:rPr>
              <w:t>Adult and Health Services</w:t>
            </w:r>
          </w:p>
        </w:tc>
      </w:tr>
      <w:tr w:rsidR="00845787" w:rsidRPr="00E05D1C"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E05D1C" w:rsidRDefault="00845787" w:rsidP="00D70625">
            <w:pPr>
              <w:rPr>
                <w:rFonts w:cs="Arial"/>
                <w:b/>
                <w:sz w:val="22"/>
              </w:rPr>
            </w:pPr>
            <w:r w:rsidRPr="00E05D1C">
              <w:rPr>
                <w:rFonts w:cs="Arial"/>
                <w:b/>
                <w:sz w:val="22"/>
              </w:rPr>
              <w:t>Service Area</w:t>
            </w:r>
          </w:p>
        </w:tc>
        <w:tc>
          <w:tcPr>
            <w:tcW w:w="7933" w:type="dxa"/>
            <w:vAlign w:val="center"/>
          </w:tcPr>
          <w:p w14:paraId="2B423975" w14:textId="1F235837" w:rsidR="00845787" w:rsidRPr="00E05D1C" w:rsidRDefault="00BE63F4" w:rsidP="00D70625">
            <w:pPr>
              <w:rPr>
                <w:rFonts w:cs="Arial"/>
                <w:sz w:val="22"/>
              </w:rPr>
            </w:pPr>
            <w:r w:rsidRPr="00E05D1C">
              <w:rPr>
                <w:rFonts w:cs="Arial"/>
                <w:sz w:val="22"/>
              </w:rPr>
              <w:t>Adult Care, Mental Health</w:t>
            </w:r>
          </w:p>
        </w:tc>
      </w:tr>
      <w:tr w:rsidR="00845787" w:rsidRPr="00E05D1C"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E05D1C" w:rsidRDefault="00845787" w:rsidP="00D70625">
            <w:pPr>
              <w:rPr>
                <w:rFonts w:cs="Arial"/>
                <w:sz w:val="22"/>
              </w:rPr>
            </w:pPr>
            <w:r w:rsidRPr="00E05D1C">
              <w:rPr>
                <w:rFonts w:cs="Arial"/>
                <w:b/>
                <w:sz w:val="22"/>
              </w:rPr>
              <w:t>Reporting to</w:t>
            </w:r>
          </w:p>
        </w:tc>
        <w:tc>
          <w:tcPr>
            <w:tcW w:w="7933" w:type="dxa"/>
            <w:tcBorders>
              <w:bottom w:val="single" w:sz="4" w:space="0" w:color="000000"/>
            </w:tcBorders>
            <w:vAlign w:val="center"/>
          </w:tcPr>
          <w:p w14:paraId="41413624" w14:textId="2D27854A" w:rsidR="00845787" w:rsidRPr="00E05D1C" w:rsidRDefault="007E18A8" w:rsidP="00D70625">
            <w:pPr>
              <w:rPr>
                <w:rFonts w:cs="Arial"/>
                <w:sz w:val="22"/>
              </w:rPr>
            </w:pPr>
            <w:r w:rsidRPr="00E05D1C">
              <w:rPr>
                <w:rFonts w:cs="Arial"/>
                <w:sz w:val="22"/>
              </w:rPr>
              <w:t>The Consultant Social Worker will be accountable to the Strategic Manager Operations (LD/MH/Substance Misuse)</w:t>
            </w:r>
          </w:p>
        </w:tc>
      </w:tr>
      <w:tr w:rsidR="00845787" w:rsidRPr="00E05D1C"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E05D1C" w:rsidRDefault="00845787" w:rsidP="00D70625">
            <w:pPr>
              <w:rPr>
                <w:rFonts w:cs="Arial"/>
                <w:b/>
                <w:sz w:val="22"/>
              </w:rPr>
            </w:pPr>
            <w:r w:rsidRPr="00E05D1C">
              <w:rPr>
                <w:rFonts w:cs="Arial"/>
                <w:b/>
                <w:sz w:val="22"/>
              </w:rPr>
              <w:t>Location</w:t>
            </w:r>
          </w:p>
        </w:tc>
        <w:tc>
          <w:tcPr>
            <w:tcW w:w="7933" w:type="dxa"/>
            <w:tcBorders>
              <w:bottom w:val="single" w:sz="4" w:space="0" w:color="000000"/>
            </w:tcBorders>
            <w:vAlign w:val="center"/>
          </w:tcPr>
          <w:p w14:paraId="757C555B" w14:textId="076E90DB" w:rsidR="00845787" w:rsidRPr="00E05D1C" w:rsidRDefault="00845787" w:rsidP="00D70625">
            <w:pPr>
              <w:rPr>
                <w:rFonts w:cs="Arial"/>
                <w:sz w:val="22"/>
              </w:rPr>
            </w:pPr>
            <w:r w:rsidRPr="00E05D1C">
              <w:rPr>
                <w:rFonts w:cs="Arial"/>
                <w:sz w:val="22"/>
              </w:rPr>
              <w:t>Your normal place of work will be</w:t>
            </w:r>
            <w:r w:rsidR="00D157CC" w:rsidRPr="00E05D1C">
              <w:rPr>
                <w:rFonts w:cs="Arial"/>
                <w:b/>
                <w:bCs/>
                <w:sz w:val="22"/>
              </w:rPr>
              <w:t xml:space="preserve"> within County </w:t>
            </w:r>
            <w:proofErr w:type="gramStart"/>
            <w:r w:rsidR="00D157CC" w:rsidRPr="00E05D1C">
              <w:rPr>
                <w:rFonts w:cs="Arial"/>
                <w:b/>
                <w:bCs/>
                <w:sz w:val="22"/>
              </w:rPr>
              <w:t>Durham</w:t>
            </w:r>
            <w:r w:rsidRPr="00E05D1C">
              <w:rPr>
                <w:rFonts w:cs="Arial"/>
                <w:sz w:val="22"/>
              </w:rPr>
              <w:t xml:space="preserve"> ,</w:t>
            </w:r>
            <w:proofErr w:type="gramEnd"/>
            <w:r w:rsidRPr="00E05D1C">
              <w:rPr>
                <w:rFonts w:cs="Arial"/>
                <w:sz w:val="22"/>
              </w:rPr>
              <w:t xml:space="preserve"> but you may be required to work at any Council workplace within County Durham.</w:t>
            </w:r>
          </w:p>
        </w:tc>
      </w:tr>
      <w:tr w:rsidR="00845787" w:rsidRPr="00E05D1C"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E05D1C" w:rsidRDefault="00845787" w:rsidP="00D70625">
            <w:pPr>
              <w:jc w:val="right"/>
              <w:rPr>
                <w:rFonts w:cs="Arial"/>
                <w:sz w:val="22"/>
              </w:rPr>
            </w:pPr>
          </w:p>
        </w:tc>
      </w:tr>
      <w:tr w:rsidR="00845787" w:rsidRPr="00E05D1C" w14:paraId="114E15EA" w14:textId="77777777" w:rsidTr="00D70625">
        <w:trPr>
          <w:trHeight w:val="709"/>
        </w:trPr>
        <w:tc>
          <w:tcPr>
            <w:tcW w:w="2552" w:type="dxa"/>
            <w:shd w:val="clear" w:color="auto" w:fill="F2F2F2" w:themeFill="background1" w:themeFillShade="F2"/>
            <w:vAlign w:val="center"/>
          </w:tcPr>
          <w:p w14:paraId="3FA71428" w14:textId="77777777" w:rsidR="00845787" w:rsidRPr="00E05D1C" w:rsidRDefault="00845787" w:rsidP="00D70625">
            <w:pPr>
              <w:rPr>
                <w:rFonts w:cs="Arial"/>
                <w:b/>
                <w:sz w:val="22"/>
              </w:rPr>
            </w:pPr>
            <w:r w:rsidRPr="00E05D1C">
              <w:rPr>
                <w:rFonts w:cs="Arial"/>
                <w:b/>
                <w:sz w:val="22"/>
              </w:rPr>
              <w:t>DBS</w:t>
            </w:r>
          </w:p>
        </w:tc>
        <w:tc>
          <w:tcPr>
            <w:tcW w:w="7933" w:type="dxa"/>
            <w:vAlign w:val="center"/>
          </w:tcPr>
          <w:p w14:paraId="7B94AA16" w14:textId="206765EE" w:rsidR="00845787" w:rsidRPr="00E05D1C" w:rsidRDefault="00845787" w:rsidP="00D70625">
            <w:pPr>
              <w:rPr>
                <w:rFonts w:cs="Arial"/>
                <w:sz w:val="22"/>
              </w:rPr>
            </w:pPr>
            <w:r w:rsidRPr="00E05D1C">
              <w:rPr>
                <w:rFonts w:cs="Arial"/>
                <w:sz w:val="22"/>
              </w:rPr>
              <w:t xml:space="preserve">This post </w:t>
            </w:r>
            <w:r w:rsidRPr="00E05D1C">
              <w:rPr>
                <w:rFonts w:cs="Arial"/>
                <w:b/>
                <w:sz w:val="22"/>
              </w:rPr>
              <w:t>is</w:t>
            </w:r>
            <w:r w:rsidRPr="00E05D1C">
              <w:rPr>
                <w:rFonts w:cs="Arial"/>
                <w:sz w:val="22"/>
              </w:rPr>
              <w:t xml:space="preserve"> subject to a</w:t>
            </w:r>
            <w:r w:rsidR="00F702EE" w:rsidRPr="00E05D1C">
              <w:rPr>
                <w:rFonts w:cs="Arial"/>
                <w:sz w:val="22"/>
              </w:rPr>
              <w:t>n</w:t>
            </w:r>
            <w:r w:rsidRPr="00E05D1C">
              <w:rPr>
                <w:rFonts w:cs="Arial"/>
                <w:sz w:val="22"/>
              </w:rPr>
              <w:t xml:space="preserve"> </w:t>
            </w:r>
            <w:r w:rsidRPr="00E05D1C">
              <w:rPr>
                <w:rFonts w:cs="Arial"/>
                <w:b/>
                <w:sz w:val="22"/>
              </w:rPr>
              <w:t>enhanced disclosure</w:t>
            </w:r>
            <w:r w:rsidRPr="00E05D1C">
              <w:rPr>
                <w:rFonts w:cs="Arial"/>
                <w:sz w:val="22"/>
              </w:rPr>
              <w:t>.</w:t>
            </w:r>
          </w:p>
        </w:tc>
      </w:tr>
      <w:tr w:rsidR="00845787" w:rsidRPr="00E05D1C" w14:paraId="6341AB64" w14:textId="77777777" w:rsidTr="00D70625">
        <w:trPr>
          <w:trHeight w:val="709"/>
        </w:trPr>
        <w:tc>
          <w:tcPr>
            <w:tcW w:w="2552" w:type="dxa"/>
            <w:shd w:val="clear" w:color="auto" w:fill="F2F2F2" w:themeFill="background1" w:themeFillShade="F2"/>
            <w:vAlign w:val="center"/>
          </w:tcPr>
          <w:p w14:paraId="7BAB78A9" w14:textId="77777777" w:rsidR="00845787" w:rsidRPr="00E05D1C" w:rsidRDefault="00845787" w:rsidP="00D70625">
            <w:pPr>
              <w:rPr>
                <w:rFonts w:cs="Arial"/>
                <w:b/>
                <w:sz w:val="22"/>
              </w:rPr>
            </w:pPr>
            <w:r w:rsidRPr="00E05D1C">
              <w:rPr>
                <w:rFonts w:cs="Arial"/>
                <w:b/>
                <w:sz w:val="22"/>
              </w:rPr>
              <w:t>Flexitime</w:t>
            </w:r>
          </w:p>
        </w:tc>
        <w:tc>
          <w:tcPr>
            <w:tcW w:w="7933" w:type="dxa"/>
            <w:vAlign w:val="center"/>
          </w:tcPr>
          <w:p w14:paraId="7C40F69C" w14:textId="0AAC1FEF" w:rsidR="00845787" w:rsidRPr="00E05D1C" w:rsidRDefault="00845787" w:rsidP="00D70625">
            <w:pPr>
              <w:rPr>
                <w:rFonts w:cs="Arial"/>
                <w:sz w:val="22"/>
              </w:rPr>
            </w:pPr>
            <w:r w:rsidRPr="00E05D1C">
              <w:rPr>
                <w:rFonts w:cs="Arial"/>
                <w:sz w:val="22"/>
              </w:rPr>
              <w:t xml:space="preserve">This post </w:t>
            </w:r>
            <w:r w:rsidRPr="00E05D1C">
              <w:rPr>
                <w:rFonts w:cs="Arial"/>
                <w:b/>
                <w:sz w:val="22"/>
              </w:rPr>
              <w:t>is</w:t>
            </w:r>
            <w:r w:rsidR="00B62C48" w:rsidRPr="00E05D1C">
              <w:rPr>
                <w:rFonts w:cs="Arial"/>
                <w:b/>
                <w:sz w:val="22"/>
              </w:rPr>
              <w:t xml:space="preserve"> </w:t>
            </w:r>
            <w:r w:rsidRPr="00E05D1C">
              <w:rPr>
                <w:rFonts w:cs="Arial"/>
                <w:sz w:val="22"/>
              </w:rPr>
              <w:t>eligible for flexitime.</w:t>
            </w:r>
          </w:p>
        </w:tc>
      </w:tr>
      <w:tr w:rsidR="00845787" w:rsidRPr="00E05D1C"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845787" w:rsidRPr="00E05D1C" w:rsidRDefault="00845787" w:rsidP="00D70625">
            <w:pPr>
              <w:rPr>
                <w:rFonts w:cs="Arial"/>
                <w:b/>
                <w:sz w:val="22"/>
              </w:rPr>
            </w:pPr>
            <w:r w:rsidRPr="00E05D1C">
              <w:rPr>
                <w:rFonts w:cs="Arial"/>
                <w:b/>
                <w:sz w:val="22"/>
              </w:rPr>
              <w:t>Politically restricted</w:t>
            </w:r>
          </w:p>
        </w:tc>
        <w:tc>
          <w:tcPr>
            <w:tcW w:w="7933" w:type="dxa"/>
            <w:tcBorders>
              <w:bottom w:val="single" w:sz="4" w:space="0" w:color="000000"/>
            </w:tcBorders>
            <w:vAlign w:val="center"/>
          </w:tcPr>
          <w:p w14:paraId="17FE1F0D" w14:textId="3BEFC782" w:rsidR="00845787" w:rsidRPr="00E05D1C" w:rsidRDefault="00845787" w:rsidP="00D70625">
            <w:pPr>
              <w:rPr>
                <w:rFonts w:cs="Arial"/>
                <w:sz w:val="22"/>
              </w:rPr>
            </w:pPr>
            <w:r w:rsidRPr="00E05D1C">
              <w:rPr>
                <w:rFonts w:cs="Arial"/>
                <w:sz w:val="22"/>
              </w:rPr>
              <w:t xml:space="preserve">This post </w:t>
            </w:r>
            <w:r w:rsidRPr="00E05D1C">
              <w:rPr>
                <w:rFonts w:cs="Arial"/>
                <w:b/>
                <w:sz w:val="22"/>
              </w:rPr>
              <w:t>is not</w:t>
            </w:r>
            <w:r w:rsidRPr="00E05D1C">
              <w:rPr>
                <w:rFonts w:cs="Arial"/>
                <w:sz w:val="22"/>
              </w:rPr>
              <w:t xml:space="preserve"> designated as a politically restricted pos</w:t>
            </w:r>
            <w:r w:rsidR="007C7799" w:rsidRPr="00E05D1C">
              <w:rPr>
                <w:rFonts w:cs="Arial"/>
                <w:sz w:val="22"/>
              </w:rPr>
              <w:t>t in accordance with the requirements of Section 1(5) of the Local Government and Housing Act 1989 and by regulations made from time to time by the Secretary of State.</w:t>
            </w:r>
          </w:p>
        </w:tc>
      </w:tr>
      <w:tr w:rsidR="00681A84" w:rsidRPr="00E05D1C" w14:paraId="3A07C6DE" w14:textId="77777777" w:rsidTr="00681A84">
        <w:trPr>
          <w:trHeight w:val="1320"/>
        </w:trPr>
        <w:tc>
          <w:tcPr>
            <w:tcW w:w="2552" w:type="dxa"/>
            <w:tcBorders>
              <w:bottom w:val="single" w:sz="4" w:space="0" w:color="auto"/>
            </w:tcBorders>
            <w:shd w:val="clear" w:color="auto" w:fill="F2F2F2" w:themeFill="background1" w:themeFillShade="F2"/>
            <w:vAlign w:val="center"/>
          </w:tcPr>
          <w:p w14:paraId="30BED7D7" w14:textId="77777777" w:rsidR="00681A84" w:rsidRPr="00E05D1C" w:rsidRDefault="00681A84" w:rsidP="00D70625">
            <w:pPr>
              <w:rPr>
                <w:rFonts w:cs="Arial"/>
                <w:b/>
                <w:sz w:val="22"/>
              </w:rPr>
            </w:pPr>
          </w:p>
        </w:tc>
        <w:tc>
          <w:tcPr>
            <w:tcW w:w="7933" w:type="dxa"/>
            <w:tcBorders>
              <w:bottom w:val="single" w:sz="4" w:space="0" w:color="auto"/>
            </w:tcBorders>
            <w:vAlign w:val="center"/>
          </w:tcPr>
          <w:p w14:paraId="246B0E13" w14:textId="77777777" w:rsidR="00681A84" w:rsidRPr="00E05D1C" w:rsidRDefault="00681A84" w:rsidP="00D70625">
            <w:pPr>
              <w:rPr>
                <w:rFonts w:cs="Arial"/>
                <w:sz w:val="22"/>
              </w:rPr>
            </w:pPr>
          </w:p>
        </w:tc>
      </w:tr>
    </w:tbl>
    <w:p w14:paraId="576515ED" w14:textId="77777777" w:rsidR="00681A84" w:rsidRPr="00E05D1C" w:rsidRDefault="00681A84">
      <w:pPr>
        <w:rPr>
          <w:rFonts w:cs="Arial"/>
          <w:sz w:val="22"/>
        </w:rPr>
      </w:pPr>
    </w:p>
    <w:tbl>
      <w:tblPr>
        <w:tblStyle w:val="TableGrid"/>
        <w:tblW w:w="0" w:type="auto"/>
        <w:tblLook w:val="04A0" w:firstRow="1" w:lastRow="0" w:firstColumn="1" w:lastColumn="0" w:noHBand="0" w:noVBand="1"/>
      </w:tblPr>
      <w:tblGrid>
        <w:gridCol w:w="10456"/>
      </w:tblGrid>
      <w:tr w:rsidR="003F5F22" w:rsidRPr="00E05D1C" w14:paraId="174EC23F" w14:textId="77777777" w:rsidTr="003F5F22">
        <w:trPr>
          <w:trHeight w:val="624"/>
        </w:trPr>
        <w:tc>
          <w:tcPr>
            <w:tcW w:w="10456" w:type="dxa"/>
            <w:shd w:val="clear" w:color="auto" w:fill="F2F2F2" w:themeFill="background1" w:themeFillShade="F2"/>
            <w:vAlign w:val="center"/>
          </w:tcPr>
          <w:p w14:paraId="5C0718C9" w14:textId="77777777" w:rsidR="003F5F22" w:rsidRPr="00E05D1C" w:rsidRDefault="003F5F22" w:rsidP="003F5F22">
            <w:pPr>
              <w:rPr>
                <w:rFonts w:cs="Arial"/>
                <w:b/>
                <w:sz w:val="22"/>
              </w:rPr>
            </w:pPr>
            <w:r w:rsidRPr="00E05D1C">
              <w:rPr>
                <w:rFonts w:cs="Arial"/>
                <w:b/>
                <w:sz w:val="22"/>
              </w:rPr>
              <w:t>Description of role</w:t>
            </w:r>
          </w:p>
        </w:tc>
      </w:tr>
    </w:tbl>
    <w:p w14:paraId="437E9B97" w14:textId="77777777" w:rsidR="003F5F22" w:rsidRPr="00E05D1C" w:rsidRDefault="003F5F22" w:rsidP="00681A84">
      <w:pPr>
        <w:rPr>
          <w:rFonts w:cs="Arial"/>
          <w:b/>
          <w:sz w:val="22"/>
        </w:rPr>
      </w:pPr>
    </w:p>
    <w:p w14:paraId="459220E6" w14:textId="77777777"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Responsible for effective delivery of a practice education program in adult mental health services. </w:t>
      </w:r>
    </w:p>
    <w:p w14:paraId="632BFBAC" w14:textId="77777777"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To supervise, assess and manage participants and allocated caseloads to a Think Ahead unit. The post </w:t>
      </w:r>
    </w:p>
    <w:p w14:paraId="5039A37E" w14:textId="77777777"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holder will lead and develop a practice curriculum that aims to strengthen mental health social work by </w:t>
      </w:r>
    </w:p>
    <w:p w14:paraId="566F1B64" w14:textId="77777777"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maximizing the contribution of social approaches to mental health support – by ensuring that effective</w:t>
      </w:r>
    </w:p>
    <w:p w14:paraId="2107DE4F" w14:textId="1B3DD215"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social work support is provided in each case in accordance with relevant legislation and local and national </w:t>
      </w:r>
    </w:p>
    <w:p w14:paraId="7BBA4FE8" w14:textId="77777777"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policy.  This post holder will lead on Social Care issues linked to Students and learning within the service </w:t>
      </w:r>
    </w:p>
    <w:p w14:paraId="5080CD1D" w14:textId="45E84C0C" w:rsidR="001614A6" w:rsidRPr="00F51232" w:rsidRDefault="001614A6" w:rsidP="001614A6">
      <w:pPr>
        <w:tabs>
          <w:tab w:val="left" w:pos="1134"/>
          <w:tab w:val="left" w:pos="1701"/>
          <w:tab w:val="left" w:pos="2268"/>
          <w:tab w:val="left" w:pos="2835"/>
        </w:tabs>
        <w:ind w:left="1134" w:hanging="1134"/>
        <w:rPr>
          <w:rFonts w:cs="Arial"/>
          <w:sz w:val="22"/>
          <w:lang w:val="en-US" w:eastAsia="en-GB"/>
        </w:rPr>
      </w:pPr>
      <w:r w:rsidRPr="00F51232">
        <w:rPr>
          <w:rFonts w:cs="Arial"/>
          <w:sz w:val="22"/>
          <w:lang w:val="en-US" w:eastAsia="en-GB"/>
        </w:rPr>
        <w:t xml:space="preserve">and carry a small caseload whilst teaching. </w:t>
      </w:r>
    </w:p>
    <w:p w14:paraId="1B5E2938" w14:textId="77777777" w:rsidR="00F51232" w:rsidRPr="00F51232" w:rsidRDefault="00F51232">
      <w:pPr>
        <w:rPr>
          <w:rFonts w:cs="Arial"/>
          <w:b/>
          <w:sz w:val="22"/>
        </w:rPr>
      </w:pPr>
    </w:p>
    <w:p w14:paraId="63873C04" w14:textId="77777777" w:rsidR="00F51232" w:rsidRPr="00F51232" w:rsidRDefault="00F51232">
      <w:pPr>
        <w:rPr>
          <w:rFonts w:cs="Arial"/>
          <w:b/>
          <w:sz w:val="22"/>
        </w:rPr>
      </w:pPr>
      <w:r w:rsidRPr="00F51232">
        <w:rPr>
          <w:rFonts w:cs="Arial"/>
          <w:b/>
          <w:sz w:val="22"/>
        </w:rPr>
        <w:t>About Think Ahead</w:t>
      </w:r>
    </w:p>
    <w:p w14:paraId="2F3929E7" w14:textId="77777777" w:rsidR="00F51232" w:rsidRPr="00F51232" w:rsidRDefault="00F51232">
      <w:pPr>
        <w:rPr>
          <w:rFonts w:cs="Arial"/>
          <w:b/>
          <w:sz w:val="22"/>
        </w:rPr>
      </w:pPr>
    </w:p>
    <w:p w14:paraId="771D2546" w14:textId="45A887CF" w:rsidR="00F51232" w:rsidRPr="00F51232" w:rsidRDefault="00F51232" w:rsidP="00F51232">
      <w:pPr>
        <w:pStyle w:val="NoSpacing"/>
        <w:spacing w:after="120"/>
        <w:rPr>
          <w:rFonts w:cs="Arial"/>
          <w:sz w:val="22"/>
        </w:rPr>
      </w:pPr>
      <w:r w:rsidRPr="00F51232">
        <w:rPr>
          <w:rFonts w:cs="Arial"/>
          <w:sz w:val="22"/>
        </w:rPr>
        <w:t xml:space="preserve">The programme has become one of the country’s most competitive graduate schemes, with high-profile support across the political spectrum, extensive media coverage, and 23 applications for each place on the programme.  Through 2016-2019 cohorts have partnered with over half of NHS Trusts and around a third of Local </w:t>
      </w:r>
      <w:proofErr w:type="gramStart"/>
      <w:r w:rsidRPr="00F51232">
        <w:rPr>
          <w:rFonts w:cs="Arial"/>
          <w:sz w:val="22"/>
        </w:rPr>
        <w:t>Authorities, and</w:t>
      </w:r>
      <w:proofErr w:type="gramEnd"/>
      <w:r w:rsidRPr="00F51232">
        <w:rPr>
          <w:rFonts w:cs="Arial"/>
          <w:sz w:val="22"/>
        </w:rPr>
        <w:t xml:space="preserve"> have trained over 89 Consultant Social Workers. </w:t>
      </w:r>
    </w:p>
    <w:p w14:paraId="342BDC47" w14:textId="49B0D33D" w:rsidR="00F51232" w:rsidRPr="00F51232" w:rsidRDefault="009A7161" w:rsidP="00F51232">
      <w:pPr>
        <w:rPr>
          <w:rFonts w:cs="Arial"/>
          <w:sz w:val="22"/>
        </w:rPr>
      </w:pPr>
      <w:r>
        <w:rPr>
          <w:rFonts w:cs="Arial"/>
          <w:sz w:val="22"/>
        </w:rPr>
        <w:t>Think Ahead aims to</w:t>
      </w:r>
      <w:r w:rsidR="00F51232" w:rsidRPr="00F51232">
        <w:rPr>
          <w:rFonts w:cs="Arial"/>
          <w:sz w:val="22"/>
        </w:rPr>
        <w:t>:</w:t>
      </w:r>
    </w:p>
    <w:p w14:paraId="11AE4E5C" w14:textId="77777777" w:rsidR="00F51232" w:rsidRPr="00F51232" w:rsidRDefault="00F51232" w:rsidP="00F51232">
      <w:pPr>
        <w:rPr>
          <w:rFonts w:cs="Arial"/>
          <w:sz w:val="22"/>
        </w:rPr>
      </w:pPr>
    </w:p>
    <w:p w14:paraId="6700EC99" w14:textId="77777777" w:rsidR="00F51232" w:rsidRPr="00F51232" w:rsidRDefault="00F51232" w:rsidP="00F51232">
      <w:pPr>
        <w:pStyle w:val="NoSpacing"/>
        <w:numPr>
          <w:ilvl w:val="0"/>
          <w:numId w:val="30"/>
        </w:numPr>
        <w:spacing w:after="120"/>
        <w:ind w:left="714" w:hanging="357"/>
        <w:rPr>
          <w:rFonts w:cs="Arial"/>
          <w:sz w:val="22"/>
        </w:rPr>
      </w:pPr>
      <w:r w:rsidRPr="00F51232">
        <w:rPr>
          <w:rFonts w:cs="Arial"/>
          <w:sz w:val="22"/>
        </w:rPr>
        <w:lastRenderedPageBreak/>
        <w:t xml:space="preserve">Attract outstanding people to enter mental health social work. </w:t>
      </w:r>
    </w:p>
    <w:p w14:paraId="298186DF" w14:textId="77777777" w:rsidR="00F51232" w:rsidRPr="00F51232" w:rsidRDefault="00F51232" w:rsidP="00F51232">
      <w:pPr>
        <w:pStyle w:val="NoSpacing"/>
        <w:numPr>
          <w:ilvl w:val="0"/>
          <w:numId w:val="30"/>
        </w:numPr>
        <w:spacing w:after="120"/>
        <w:ind w:left="714" w:hanging="357"/>
        <w:rPr>
          <w:rFonts w:cs="Arial"/>
          <w:sz w:val="22"/>
        </w:rPr>
      </w:pPr>
      <w:r w:rsidRPr="00F51232">
        <w:rPr>
          <w:rFonts w:cs="Arial"/>
          <w:sz w:val="22"/>
        </w:rPr>
        <w:t xml:space="preserve">Promote excellence in training, to create superb mental health social workers. </w:t>
      </w:r>
    </w:p>
    <w:p w14:paraId="691FD1F4" w14:textId="77777777" w:rsidR="00F51232" w:rsidRPr="00F51232" w:rsidRDefault="00F51232" w:rsidP="00F51232">
      <w:pPr>
        <w:pStyle w:val="NoSpacing"/>
        <w:numPr>
          <w:ilvl w:val="0"/>
          <w:numId w:val="30"/>
        </w:numPr>
        <w:spacing w:line="360" w:lineRule="auto"/>
        <w:ind w:left="714" w:hanging="357"/>
        <w:rPr>
          <w:rFonts w:cs="Arial"/>
          <w:sz w:val="22"/>
        </w:rPr>
      </w:pPr>
      <w:r w:rsidRPr="00F51232">
        <w:rPr>
          <w:rFonts w:cs="Arial"/>
          <w:sz w:val="22"/>
        </w:rPr>
        <w:t>Support services to unlock the potential of social work.</w:t>
      </w:r>
    </w:p>
    <w:p w14:paraId="3DCB8885" w14:textId="77777777" w:rsidR="00F51232" w:rsidRPr="00F51232" w:rsidRDefault="00F51232">
      <w:pPr>
        <w:rPr>
          <w:rFonts w:cs="Arial"/>
          <w:b/>
          <w:sz w:val="22"/>
        </w:rPr>
      </w:pPr>
      <w:r w:rsidRPr="00F51232">
        <w:rPr>
          <w:rFonts w:cs="Arial"/>
          <w:b/>
          <w:sz w:val="22"/>
        </w:rPr>
        <w:t>About the programme: Structure and focus</w:t>
      </w:r>
    </w:p>
    <w:p w14:paraId="11E756F8" w14:textId="77777777" w:rsidR="00F51232" w:rsidRPr="00F51232" w:rsidRDefault="00F51232">
      <w:pPr>
        <w:rPr>
          <w:rFonts w:cs="Arial"/>
          <w:b/>
          <w:sz w:val="22"/>
        </w:rPr>
      </w:pPr>
    </w:p>
    <w:p w14:paraId="73001785" w14:textId="77777777" w:rsidR="00F51232" w:rsidRPr="00F51232" w:rsidRDefault="00F51232" w:rsidP="00F51232">
      <w:pPr>
        <w:rPr>
          <w:rFonts w:cs="Arial"/>
          <w:sz w:val="22"/>
        </w:rPr>
      </w:pPr>
      <w:r w:rsidRPr="00F51232">
        <w:rPr>
          <w:rFonts w:cs="Arial"/>
          <w:sz w:val="22"/>
        </w:rPr>
        <w:t xml:space="preserve">Participants attend a four-week residential Summer Institute starting in July to ensure readiness for practice.  In Year One there are a total of 200 days on placement.  This includes a 30-day Contrasting Learning Experience in a children and families setting.  Participants undertake a combination of face-to-face and online distance learning throughout their placement.  They are awarded a PGDip in Social Work Practice at the end of Year One and register with Social Work England.  </w:t>
      </w:r>
    </w:p>
    <w:p w14:paraId="659348B1" w14:textId="77777777" w:rsidR="00F51232" w:rsidRPr="00F51232" w:rsidRDefault="00F51232" w:rsidP="00F51232">
      <w:pPr>
        <w:rPr>
          <w:rFonts w:cs="Arial"/>
          <w:sz w:val="22"/>
        </w:rPr>
      </w:pPr>
    </w:p>
    <w:p w14:paraId="5E58A669" w14:textId="7118B5A1" w:rsidR="00F51232" w:rsidRPr="00F51232" w:rsidRDefault="00F51232" w:rsidP="00F51232">
      <w:pPr>
        <w:rPr>
          <w:rFonts w:cs="Arial"/>
          <w:sz w:val="22"/>
        </w:rPr>
      </w:pPr>
      <w:r w:rsidRPr="00F51232">
        <w:rPr>
          <w:rFonts w:cs="Arial"/>
          <w:sz w:val="22"/>
        </w:rPr>
        <w:t xml:space="preserve">In Year Two, the newly qualified participants are employed by the organisation and complete their ASYE and work towards a master’s degree in Social Work.  The Consultant Social Worker does not </w:t>
      </w:r>
      <w:r w:rsidR="009A7161">
        <w:rPr>
          <w:rFonts w:cs="Arial"/>
          <w:sz w:val="22"/>
        </w:rPr>
        <w:t xml:space="preserve">necessarily </w:t>
      </w:r>
      <w:r w:rsidRPr="00F51232">
        <w:rPr>
          <w:rFonts w:cs="Arial"/>
          <w:sz w:val="22"/>
        </w:rPr>
        <w:t xml:space="preserve">take responsibility for supervising them during Year Two.  </w:t>
      </w:r>
    </w:p>
    <w:p w14:paraId="09F4EA82" w14:textId="77777777" w:rsidR="00F51232" w:rsidRPr="00F51232" w:rsidRDefault="00F51232" w:rsidP="00F51232">
      <w:pPr>
        <w:rPr>
          <w:rFonts w:cs="Arial"/>
          <w:sz w:val="22"/>
        </w:rPr>
      </w:pPr>
    </w:p>
    <w:p w14:paraId="13D520F8" w14:textId="77777777" w:rsidR="00F51232" w:rsidRPr="00F51232" w:rsidRDefault="00F51232" w:rsidP="00F51232">
      <w:pPr>
        <w:rPr>
          <w:rFonts w:cs="Arial"/>
          <w:sz w:val="22"/>
        </w:rPr>
      </w:pPr>
      <w:r w:rsidRPr="00F51232">
        <w:rPr>
          <w:rFonts w:cs="Arial"/>
          <w:sz w:val="22"/>
        </w:rPr>
        <w:t>Throughout the programme, participants study mental health social work and evidence-based social interventions at three levels (individuals, families and communities) which will become the foundation of their social work practice.</w:t>
      </w:r>
    </w:p>
    <w:p w14:paraId="7BFE63E9" w14:textId="444122F8" w:rsidR="0063274D" w:rsidRDefault="0063274D">
      <w:pPr>
        <w:rPr>
          <w:rFonts w:cs="Arial"/>
          <w:b/>
          <w:szCs w:val="24"/>
        </w:rPr>
      </w:pPr>
      <w:r>
        <w:rPr>
          <w:rFonts w:cs="Arial"/>
          <w:b/>
          <w:szCs w:val="24"/>
        </w:rPr>
        <w:br w:type="page"/>
      </w:r>
    </w:p>
    <w:p w14:paraId="694BE2F8"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835013B" w14:textId="77777777" w:rsidR="00681A84" w:rsidRDefault="00681A84" w:rsidP="00681A84">
      <w:pPr>
        <w:rPr>
          <w:rFonts w:cs="Arial"/>
          <w:b/>
          <w:szCs w:val="24"/>
        </w:rPr>
      </w:pPr>
    </w:p>
    <w:p w14:paraId="2EC224B8" w14:textId="77777777" w:rsidR="00216726" w:rsidRPr="005B2C18" w:rsidRDefault="00216726" w:rsidP="00216726">
      <w:pPr>
        <w:pStyle w:val="NoSpacing"/>
        <w:tabs>
          <w:tab w:val="left" w:pos="1134"/>
          <w:tab w:val="left" w:pos="1701"/>
          <w:tab w:val="left" w:pos="2268"/>
          <w:tab w:val="left" w:pos="2835"/>
        </w:tabs>
        <w:rPr>
          <w:rFonts w:cs="Arial"/>
          <w:b/>
          <w:color w:val="000000"/>
        </w:rPr>
      </w:pPr>
      <w:r w:rsidRPr="005B2C18">
        <w:rPr>
          <w:rFonts w:cs="Arial"/>
          <w:b/>
          <w:color w:val="000000"/>
          <w:u w:val="single"/>
        </w:rPr>
        <w:t>Key accountabilities</w:t>
      </w:r>
    </w:p>
    <w:p w14:paraId="69077897" w14:textId="77777777" w:rsidR="00216726" w:rsidRPr="005B2C18" w:rsidRDefault="00216726" w:rsidP="00216726">
      <w:pPr>
        <w:pStyle w:val="NoSpacing"/>
        <w:tabs>
          <w:tab w:val="left" w:pos="1134"/>
          <w:tab w:val="left" w:pos="1701"/>
          <w:tab w:val="left" w:pos="2268"/>
          <w:tab w:val="left" w:pos="2835"/>
        </w:tabs>
        <w:rPr>
          <w:rFonts w:cs="Arial"/>
          <w:b/>
          <w:color w:val="000000"/>
        </w:rPr>
      </w:pPr>
    </w:p>
    <w:p w14:paraId="5EAA1936" w14:textId="77777777" w:rsidR="00216726" w:rsidRPr="005B2C18" w:rsidRDefault="00216726" w:rsidP="00216726">
      <w:pPr>
        <w:tabs>
          <w:tab w:val="left" w:pos="1134"/>
        </w:tabs>
        <w:rPr>
          <w:rFonts w:eastAsia="Calibri"/>
          <w:sz w:val="22"/>
          <w:u w:val="single"/>
        </w:rPr>
      </w:pPr>
      <w:r w:rsidRPr="005B2C18">
        <w:rPr>
          <w:rFonts w:eastAsia="Calibri"/>
          <w:sz w:val="22"/>
        </w:rPr>
        <w:tab/>
      </w:r>
      <w:r w:rsidRPr="005B2C18">
        <w:rPr>
          <w:rFonts w:eastAsia="Calibri"/>
          <w:sz w:val="22"/>
          <w:u w:val="single"/>
        </w:rPr>
        <w:t>Management of the Think Ahead unit</w:t>
      </w:r>
    </w:p>
    <w:p w14:paraId="3E961D16"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Responsible for all cases allocated to the Think Ahead unit - ensuring that effective social work support is provided in each case in accordance with relevant legislation and local and national policy</w:t>
      </w:r>
    </w:p>
    <w:p w14:paraId="1FE6A11F"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Role model outstanding evidence-based social work practice to Think Ahead participants</w:t>
      </w:r>
    </w:p>
    <w:p w14:paraId="6DBFEAB7"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Evaluate the effectiveness of social work interventions using routine outcome measures</w:t>
      </w:r>
    </w:p>
    <w:p w14:paraId="769C611E" w14:textId="77777777" w:rsidR="00216726" w:rsidRPr="005B2C18" w:rsidRDefault="00216726" w:rsidP="00216726">
      <w:pPr>
        <w:tabs>
          <w:tab w:val="left" w:pos="1134"/>
        </w:tabs>
        <w:rPr>
          <w:sz w:val="22"/>
          <w:lang w:val="en-US" w:eastAsia="en-GB"/>
        </w:rPr>
      </w:pPr>
    </w:p>
    <w:p w14:paraId="6846B8CD" w14:textId="77777777" w:rsidR="00216726" w:rsidRPr="005B2C18" w:rsidRDefault="00216726" w:rsidP="00216726">
      <w:pPr>
        <w:tabs>
          <w:tab w:val="left" w:pos="1134"/>
        </w:tabs>
        <w:rPr>
          <w:rFonts w:eastAsia="Calibri"/>
          <w:sz w:val="22"/>
          <w:u w:val="single"/>
        </w:rPr>
      </w:pPr>
      <w:r w:rsidRPr="005B2C18">
        <w:rPr>
          <w:rFonts w:eastAsia="Calibri"/>
          <w:sz w:val="22"/>
        </w:rPr>
        <w:tab/>
      </w:r>
      <w:r w:rsidRPr="005B2C18">
        <w:rPr>
          <w:rFonts w:eastAsia="Calibri"/>
          <w:sz w:val="22"/>
          <w:u w:val="single"/>
        </w:rPr>
        <w:t xml:space="preserve">Development of a </w:t>
      </w:r>
      <w:proofErr w:type="gramStart"/>
      <w:r w:rsidRPr="005B2C18">
        <w:rPr>
          <w:rFonts w:eastAsia="Calibri"/>
          <w:sz w:val="22"/>
          <w:u w:val="single"/>
        </w:rPr>
        <w:t>high quality</w:t>
      </w:r>
      <w:proofErr w:type="gramEnd"/>
      <w:r w:rsidRPr="005B2C18">
        <w:rPr>
          <w:rFonts w:eastAsia="Calibri"/>
          <w:sz w:val="22"/>
          <w:u w:val="single"/>
        </w:rPr>
        <w:t xml:space="preserve"> practice learning experience</w:t>
      </w:r>
    </w:p>
    <w:p w14:paraId="7C2C88E1"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Allocate work to participants and develop their practice skills in line with their learning needs.</w:t>
      </w:r>
    </w:p>
    <w:p w14:paraId="538C1BF8"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Work with line manager to ensure a sufficiently varied caseload, so that participants are best-placed to become practice-ready at the point of qualification.</w:t>
      </w:r>
    </w:p>
    <w:p w14:paraId="4119D93A"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Provide individual supervision, weekly unit case discussion and ad hoc support to participants.</w:t>
      </w:r>
    </w:p>
    <w:p w14:paraId="17AF61A3"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Work closely with participants as they are exposed to varied and increasingly complex casework as their placement progresses.</w:t>
      </w:r>
    </w:p>
    <w:p w14:paraId="3E415C58"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Promote a growing degree of autonomy in participants’ practice to ensure practice-readiness at the point of qualification, while retaining accountability for all cases held within the unit.</w:t>
      </w:r>
    </w:p>
    <w:p w14:paraId="6C80634C"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Support participants to develop leadership qualities in practice.</w:t>
      </w:r>
    </w:p>
    <w:p w14:paraId="146E57D1"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Be proactive in suggesting improvements to the CSW and participant experience as a part of Think Ahead feedback initiatives. </w:t>
      </w:r>
    </w:p>
    <w:p w14:paraId="682BB47B"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Active engagement in coaching sessions with Think Ahead Practice Specialist.</w:t>
      </w:r>
    </w:p>
    <w:p w14:paraId="6FB7BE6E"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Act as an ambassador for Think Ahead within your </w:t>
      </w:r>
      <w:proofErr w:type="spellStart"/>
      <w:r w:rsidRPr="005B2C18">
        <w:rPr>
          <w:sz w:val="22"/>
          <w:lang w:val="en-US" w:eastAsia="en-GB"/>
        </w:rPr>
        <w:t>organisation</w:t>
      </w:r>
      <w:proofErr w:type="spellEnd"/>
      <w:r w:rsidRPr="005B2C18">
        <w:rPr>
          <w:sz w:val="22"/>
          <w:lang w:val="en-US" w:eastAsia="en-GB"/>
        </w:rPr>
        <w:t xml:space="preserve">, raising awareness of the </w:t>
      </w:r>
      <w:proofErr w:type="spellStart"/>
      <w:r w:rsidRPr="005B2C18">
        <w:rPr>
          <w:sz w:val="22"/>
          <w:lang w:val="en-US" w:eastAsia="en-GB"/>
        </w:rPr>
        <w:t>programme</w:t>
      </w:r>
      <w:proofErr w:type="spellEnd"/>
      <w:r w:rsidRPr="005B2C18">
        <w:rPr>
          <w:sz w:val="22"/>
          <w:lang w:val="en-US" w:eastAsia="en-GB"/>
        </w:rPr>
        <w:t xml:space="preserve"> and of the models of intervention that comprise the Think Ahead curriculum.</w:t>
      </w:r>
    </w:p>
    <w:p w14:paraId="77116371" w14:textId="77777777" w:rsidR="00216726" w:rsidRPr="005B2C18" w:rsidRDefault="00216726" w:rsidP="00216726">
      <w:pPr>
        <w:tabs>
          <w:tab w:val="left" w:pos="1134"/>
          <w:tab w:val="left" w:pos="1701"/>
          <w:tab w:val="left" w:pos="2268"/>
          <w:tab w:val="left" w:pos="2835"/>
        </w:tabs>
        <w:ind w:right="143"/>
        <w:rPr>
          <w:sz w:val="22"/>
          <w:lang w:val="en-US" w:eastAsia="en-GB"/>
        </w:rPr>
      </w:pPr>
    </w:p>
    <w:p w14:paraId="7120CC07" w14:textId="77777777" w:rsidR="00216726" w:rsidRPr="005B2C18" w:rsidRDefault="00216726" w:rsidP="00216726">
      <w:pPr>
        <w:tabs>
          <w:tab w:val="left" w:pos="1134"/>
          <w:tab w:val="left" w:pos="1701"/>
          <w:tab w:val="left" w:pos="2268"/>
          <w:tab w:val="left" w:pos="2835"/>
        </w:tabs>
        <w:ind w:firstLine="360"/>
        <w:rPr>
          <w:sz w:val="22"/>
          <w:u w:val="single"/>
          <w:lang w:val="en-US" w:eastAsia="en-GB"/>
        </w:rPr>
      </w:pPr>
      <w:r w:rsidRPr="005B2C18">
        <w:tab/>
      </w:r>
      <w:r w:rsidRPr="005B2C18">
        <w:rPr>
          <w:sz w:val="22"/>
          <w:u w:val="single"/>
          <w:lang w:val="en-US" w:eastAsia="en-GB"/>
        </w:rPr>
        <w:t>Assessment and performance management</w:t>
      </w:r>
    </w:p>
    <w:p w14:paraId="12400AA1" w14:textId="099658E2"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Formal assessment of written and practical work completed by Think Ahead participants on placement, including regular direct observations of practice, according to the </w:t>
      </w:r>
      <w:r w:rsidR="00F51232">
        <w:rPr>
          <w:sz w:val="22"/>
          <w:lang w:val="en-US" w:eastAsia="en-GB"/>
        </w:rPr>
        <w:t xml:space="preserve">Middlesex University </w:t>
      </w:r>
      <w:r w:rsidRPr="005B2C18">
        <w:rPr>
          <w:sz w:val="22"/>
          <w:lang w:val="en-US" w:eastAsia="en-GB"/>
        </w:rPr>
        <w:t xml:space="preserve">assessment timelines. </w:t>
      </w:r>
    </w:p>
    <w:p w14:paraId="3DE46D1F"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Complete midway and final reports for each participant at each placement stage. </w:t>
      </w:r>
    </w:p>
    <w:p w14:paraId="7F3B25A9"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Provide feedback to participants, addressing performance issues together with Academic Tutor.</w:t>
      </w:r>
    </w:p>
    <w:p w14:paraId="1B20B7B6"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Play and active role in improving the quality and management of social workers within the whole of the Mental Health Service and share learning from the Think Ahead Project</w:t>
      </w:r>
    </w:p>
    <w:p w14:paraId="51348992"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Assist managers to address poor performance and quality concerns with social workers within the Mental Health Service</w:t>
      </w:r>
    </w:p>
    <w:p w14:paraId="678E98AD"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Actively share learning from the Think Ahead Project within management teams and social work forums</w:t>
      </w:r>
    </w:p>
    <w:p w14:paraId="6484219A" w14:textId="07B941DF" w:rsidR="00216726"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Assist Managers wit</w:t>
      </w:r>
      <w:r w:rsidR="00BE54C1">
        <w:rPr>
          <w:sz w:val="22"/>
          <w:lang w:val="en-US" w:eastAsia="en-GB"/>
        </w:rPr>
        <w:t>hin</w:t>
      </w:r>
      <w:r w:rsidRPr="005B2C18">
        <w:rPr>
          <w:sz w:val="22"/>
          <w:lang w:val="en-US" w:eastAsia="en-GB"/>
        </w:rPr>
        <w:t xml:space="preserve"> the mental health service </w:t>
      </w:r>
      <w:r w:rsidR="00BE54C1">
        <w:rPr>
          <w:sz w:val="22"/>
          <w:lang w:val="en-US" w:eastAsia="en-GB"/>
        </w:rPr>
        <w:t xml:space="preserve">to </w:t>
      </w:r>
      <w:r w:rsidRPr="005B2C18">
        <w:rPr>
          <w:sz w:val="22"/>
          <w:lang w:val="en-US" w:eastAsia="en-GB"/>
        </w:rPr>
        <w:t>support newly qualified social workers through the AYSE process and supervision and appraisal processes</w:t>
      </w:r>
    </w:p>
    <w:p w14:paraId="3C09FB58" w14:textId="77777777" w:rsidR="00216726" w:rsidRPr="005B2C18" w:rsidRDefault="00216726" w:rsidP="00216726">
      <w:pPr>
        <w:tabs>
          <w:tab w:val="left" w:pos="1134"/>
          <w:tab w:val="left" w:pos="1701"/>
        </w:tabs>
        <w:ind w:left="1701"/>
        <w:rPr>
          <w:sz w:val="22"/>
          <w:lang w:val="en-US"/>
        </w:rPr>
      </w:pPr>
    </w:p>
    <w:p w14:paraId="65FC361C" w14:textId="77777777" w:rsidR="00216726" w:rsidRPr="005B2C18" w:rsidRDefault="00216726" w:rsidP="00216726">
      <w:pPr>
        <w:tabs>
          <w:tab w:val="left" w:pos="1134"/>
          <w:tab w:val="left" w:pos="1701"/>
          <w:tab w:val="left" w:pos="2268"/>
          <w:tab w:val="left" w:pos="2835"/>
        </w:tabs>
        <w:ind w:left="993"/>
        <w:rPr>
          <w:sz w:val="22"/>
          <w:u w:val="single"/>
          <w:lang w:val="en-US" w:eastAsia="en-GB"/>
        </w:rPr>
      </w:pPr>
      <w:r w:rsidRPr="005B2C18">
        <w:rPr>
          <w:sz w:val="22"/>
          <w:lang w:val="en-US" w:eastAsia="en-GB"/>
        </w:rPr>
        <w:lastRenderedPageBreak/>
        <w:tab/>
      </w:r>
      <w:r w:rsidRPr="005B2C18">
        <w:rPr>
          <w:sz w:val="22"/>
          <w:u w:val="single"/>
          <w:lang w:val="en-US" w:eastAsia="en-GB"/>
        </w:rPr>
        <w:t>Learning and development activities</w:t>
      </w:r>
    </w:p>
    <w:p w14:paraId="17B4B388" w14:textId="77777777" w:rsidR="00216726"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All Consultant Social Workers are required to attend teaching days on social i</w:t>
      </w:r>
      <w:r>
        <w:rPr>
          <w:sz w:val="22"/>
          <w:lang w:val="en-US" w:eastAsia="en-GB"/>
        </w:rPr>
        <w:t>nterventions in mental health at Middlesex University in London</w:t>
      </w:r>
      <w:r w:rsidRPr="005B2C18">
        <w:rPr>
          <w:sz w:val="22"/>
          <w:lang w:val="en-US" w:eastAsia="en-GB"/>
        </w:rPr>
        <w:t xml:space="preserve">, plus two days’ structured self-learning. </w:t>
      </w:r>
    </w:p>
    <w:p w14:paraId="0A581657" w14:textId="77777777" w:rsidR="00216726" w:rsidRPr="00EF0C44"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Consultant Social Workers will also be required to complete assignments, direct observations with their academic tutor and other private study outside of teaching days towards their Post-Graduate Certificate in Advanced Social Work.</w:t>
      </w:r>
    </w:p>
    <w:p w14:paraId="705DC857" w14:textId="77777777" w:rsidR="00216726" w:rsidRPr="005B2C18" w:rsidRDefault="00216726" w:rsidP="00216726">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There will be up to six further teaching days for Consultant Social Workers on practice education and supervision </w:t>
      </w:r>
      <w:r>
        <w:rPr>
          <w:sz w:val="22"/>
          <w:lang w:val="en-US" w:eastAsia="en-GB"/>
        </w:rPr>
        <w:t>which will also be based at Middlesex University</w:t>
      </w:r>
      <w:r w:rsidRPr="005B2C18">
        <w:rPr>
          <w:sz w:val="22"/>
          <w:lang w:val="en-US" w:eastAsia="en-GB"/>
        </w:rPr>
        <w:t xml:space="preserve">. If a Consultant Social Worker does not have PEPS2, they will be required to attend </w:t>
      </w:r>
      <w:proofErr w:type="gramStart"/>
      <w:r w:rsidRPr="005B2C18">
        <w:rPr>
          <w:sz w:val="22"/>
          <w:lang w:val="en-US" w:eastAsia="en-GB"/>
        </w:rPr>
        <w:t>all of</w:t>
      </w:r>
      <w:proofErr w:type="gramEnd"/>
      <w:r w:rsidRPr="005B2C18">
        <w:rPr>
          <w:sz w:val="22"/>
          <w:lang w:val="en-US" w:eastAsia="en-GB"/>
        </w:rPr>
        <w:t xml:space="preserve"> these days. We will confirm the dates shortly.</w:t>
      </w:r>
    </w:p>
    <w:p w14:paraId="7BBAD031" w14:textId="67EE3C9D" w:rsidR="00216726" w:rsidRPr="00E05D1C" w:rsidRDefault="00216726" w:rsidP="00E05D1C">
      <w:pPr>
        <w:numPr>
          <w:ilvl w:val="0"/>
          <w:numId w:val="24"/>
        </w:numPr>
        <w:tabs>
          <w:tab w:val="left" w:pos="1134"/>
          <w:tab w:val="left" w:pos="1701"/>
        </w:tabs>
        <w:spacing w:before="120" w:after="120"/>
        <w:ind w:left="1701" w:hanging="567"/>
        <w:rPr>
          <w:sz w:val="22"/>
          <w:lang w:val="en-US" w:eastAsia="en-GB"/>
        </w:rPr>
      </w:pPr>
      <w:r w:rsidRPr="005B2C18">
        <w:rPr>
          <w:sz w:val="22"/>
          <w:lang w:val="en-US" w:eastAsia="en-GB"/>
        </w:rPr>
        <w:t xml:space="preserve">The location for the teaching days </w:t>
      </w:r>
      <w:r>
        <w:rPr>
          <w:sz w:val="22"/>
          <w:lang w:val="en-US" w:eastAsia="en-GB"/>
        </w:rPr>
        <w:t>will be Middlesex University, London with additional remote learning online</w:t>
      </w:r>
      <w:r w:rsidR="00CA6629">
        <w:rPr>
          <w:sz w:val="22"/>
          <w:lang w:val="en-US" w:eastAsia="en-GB"/>
        </w:rPr>
        <w:t>.</w:t>
      </w:r>
      <w:r>
        <w:rPr>
          <w:sz w:val="22"/>
          <w:lang w:val="en-US" w:eastAsia="en-GB"/>
        </w:rPr>
        <w:t xml:space="preserve"> </w:t>
      </w:r>
      <w:r w:rsidR="00CA6629">
        <w:rPr>
          <w:sz w:val="22"/>
          <w:lang w:val="en-US" w:eastAsia="en-GB"/>
        </w:rPr>
        <w:t>T</w:t>
      </w:r>
      <w:r>
        <w:rPr>
          <w:sz w:val="22"/>
          <w:lang w:val="en-US" w:eastAsia="en-GB"/>
        </w:rPr>
        <w:t>here will</w:t>
      </w:r>
      <w:r w:rsidRPr="005B2C18">
        <w:rPr>
          <w:sz w:val="22"/>
          <w:lang w:val="en-US" w:eastAsia="en-GB"/>
        </w:rPr>
        <w:t xml:space="preserve"> be a requirement for Consultant Social Workers to stay overnight at the training location.  </w:t>
      </w:r>
    </w:p>
    <w:p w14:paraId="376AE3F0" w14:textId="77777777" w:rsidR="00216726" w:rsidRPr="00E05D1C" w:rsidRDefault="00216726" w:rsidP="00E05D1C">
      <w:pPr>
        <w:tabs>
          <w:tab w:val="left" w:pos="1134"/>
          <w:tab w:val="left" w:pos="1701"/>
          <w:tab w:val="left" w:pos="2268"/>
          <w:tab w:val="left" w:pos="2835"/>
        </w:tabs>
        <w:rPr>
          <w:sz w:val="22"/>
          <w:lang w:val="en-US" w:eastAsia="en-GB"/>
        </w:rPr>
      </w:pPr>
    </w:p>
    <w:p w14:paraId="1AB73393" w14:textId="77777777" w:rsidR="00216726" w:rsidRPr="00E05D1C" w:rsidRDefault="00216726" w:rsidP="00216726">
      <w:pPr>
        <w:tabs>
          <w:tab w:val="left" w:pos="1134"/>
          <w:tab w:val="left" w:pos="1701"/>
          <w:tab w:val="left" w:pos="2268"/>
          <w:tab w:val="left" w:pos="2835"/>
        </w:tabs>
        <w:ind w:left="993"/>
        <w:rPr>
          <w:sz w:val="22"/>
          <w:u w:val="single"/>
          <w:lang w:val="en-US" w:eastAsia="en-GB"/>
        </w:rPr>
      </w:pPr>
      <w:r w:rsidRPr="00E05D1C">
        <w:rPr>
          <w:sz w:val="22"/>
        </w:rPr>
        <w:tab/>
      </w:r>
      <w:r w:rsidRPr="00E05D1C">
        <w:rPr>
          <w:sz w:val="22"/>
          <w:u w:val="single"/>
          <w:lang w:val="en-US" w:eastAsia="en-GB"/>
        </w:rPr>
        <w:t>Personal Qualities</w:t>
      </w:r>
    </w:p>
    <w:p w14:paraId="01424986"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Leadership: the ability to act as a professional role model, demonstrate initiative, and engage others and enable them to achieve their goals.</w:t>
      </w:r>
    </w:p>
    <w:p w14:paraId="670B5938"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To act as Champion on social care issues:</w:t>
      </w:r>
    </w:p>
    <w:p w14:paraId="396A9462"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Providing professional support, supervision and consultation with Approved Mental Health Professionals (AMHPs), and mental health Social Workers</w:t>
      </w:r>
    </w:p>
    <w:p w14:paraId="48CB4D24"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Providing advice and guidance to staff and managers on Adult Safeguarding issues.</w:t>
      </w:r>
    </w:p>
    <w:p w14:paraId="3A5B3A3E"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To ensure that Children and Adults Services quality standards are promoted, maintained and developed. This will include providing advice to managers in relation to complaints, the leadership and participation in the audit of social care practice to ensure the quality of care is continually improved.</w:t>
      </w:r>
    </w:p>
    <w:p w14:paraId="58D62008" w14:textId="1F35C397" w:rsidR="00216726"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 xml:space="preserve">To provide advice on social care issues and undertake professional social care supervision of mental health service members (including other professionals) at the discretion of the relevant managers. </w:t>
      </w:r>
    </w:p>
    <w:p w14:paraId="6C9D4029" w14:textId="2423A3D5" w:rsidR="00E05D1C" w:rsidRPr="00E05D1C" w:rsidRDefault="00E05D1C"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Pr>
          <w:rFonts w:cs="Arial"/>
          <w:sz w:val="22"/>
          <w:lang w:val="en-US"/>
        </w:rPr>
        <w:t xml:space="preserve">To provide support and supervision to NQSW’s on the ASYE </w:t>
      </w:r>
      <w:proofErr w:type="spellStart"/>
      <w:r>
        <w:rPr>
          <w:rFonts w:cs="Arial"/>
          <w:sz w:val="22"/>
          <w:lang w:val="en-US"/>
        </w:rPr>
        <w:t>programme</w:t>
      </w:r>
      <w:proofErr w:type="spellEnd"/>
      <w:r>
        <w:rPr>
          <w:rFonts w:cs="Arial"/>
          <w:sz w:val="22"/>
          <w:lang w:val="en-US"/>
        </w:rPr>
        <w:t>.</w:t>
      </w:r>
    </w:p>
    <w:p w14:paraId="2997C5FF" w14:textId="326A27AB"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To act as a source of expertise in relation to the Care Act</w:t>
      </w:r>
      <w:r w:rsidR="00E05D1C">
        <w:rPr>
          <w:rFonts w:cs="Arial"/>
          <w:sz w:val="22"/>
          <w:lang w:val="en-US"/>
        </w:rPr>
        <w:t>, Mental Capacity Act. Mental Health Act,</w:t>
      </w:r>
      <w:r w:rsidRPr="00E05D1C">
        <w:rPr>
          <w:rFonts w:cs="Arial"/>
          <w:sz w:val="22"/>
          <w:lang w:val="en-US"/>
        </w:rPr>
        <w:t xml:space="preserve"> Continuing Care criteria and other relevant legislation</w:t>
      </w:r>
    </w:p>
    <w:p w14:paraId="3E93A17A"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 xml:space="preserve">To assist Social Workers in their continued professional development by offering; mentoring and direct observation. To provide advice to managers in relation to Durham County Council Human Resources issues, e.g., support for managers undertaking the appraisal process in relation to social care staff. </w:t>
      </w:r>
    </w:p>
    <w:p w14:paraId="40A696FE"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 xml:space="preserve">The post holder will also be expected to provide a professional resource to current social care day service provision, promoting values of recovery and social inclusion. </w:t>
      </w:r>
    </w:p>
    <w:p w14:paraId="51FB67AA"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 xml:space="preserve">To support the Social Care lead and Service Managers in enhancing the role of Social Work and Social Care in the delivery of mental health services in the County.  This will take place in the context of National and Countywide evidence of positive practice developments. </w:t>
      </w:r>
    </w:p>
    <w:p w14:paraId="34C4B2FC" w14:textId="77777777" w:rsidR="00216726" w:rsidRPr="00E05D1C" w:rsidRDefault="00216726" w:rsidP="00216726">
      <w:pPr>
        <w:pStyle w:val="ListParagraph"/>
        <w:numPr>
          <w:ilvl w:val="0"/>
          <w:numId w:val="23"/>
        </w:numPr>
        <w:tabs>
          <w:tab w:val="left" w:pos="1134"/>
          <w:tab w:val="left" w:pos="1418"/>
          <w:tab w:val="left" w:pos="1701"/>
          <w:tab w:val="left" w:pos="2268"/>
          <w:tab w:val="left" w:pos="2835"/>
        </w:tabs>
        <w:ind w:left="2268" w:hanging="567"/>
        <w:rPr>
          <w:rFonts w:cs="Arial"/>
          <w:sz w:val="22"/>
          <w:lang w:val="en-US"/>
        </w:rPr>
      </w:pPr>
      <w:r w:rsidRPr="00E05D1C">
        <w:rPr>
          <w:rFonts w:cs="Arial"/>
          <w:sz w:val="22"/>
          <w:lang w:val="en-US"/>
        </w:rPr>
        <w:t xml:space="preserve">To develop and promote good practice networks.  The post-holder will also be expected to hold a reduced, complex caseload. </w:t>
      </w:r>
    </w:p>
    <w:p w14:paraId="7913394C"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 xml:space="preserve">It is anticipated that this post may vary in balance of duties depending upon the circumstances of the County. </w:t>
      </w:r>
    </w:p>
    <w:p w14:paraId="718A0AF2"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 xml:space="preserve">To assist with training and development as required, e.g. practice leading, participation in, or arranging workshops and action learning sets, sharing good practice, etc. </w:t>
      </w:r>
    </w:p>
    <w:p w14:paraId="57D2ED4F"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 xml:space="preserve">Where appropriate to undertake the Lead Officer role in recruitment panels. </w:t>
      </w:r>
    </w:p>
    <w:p w14:paraId="51E6D23B" w14:textId="77777777" w:rsidR="00216726" w:rsidRPr="00E05D1C" w:rsidRDefault="00216726" w:rsidP="00216726">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 xml:space="preserve">To manage a reduced, complex caseload of service users. </w:t>
      </w:r>
    </w:p>
    <w:p w14:paraId="7C5A7673" w14:textId="52D4EDCE" w:rsidR="0063274D" w:rsidRPr="00E05D1C" w:rsidRDefault="00216726" w:rsidP="009D35CD">
      <w:pPr>
        <w:numPr>
          <w:ilvl w:val="0"/>
          <w:numId w:val="24"/>
        </w:numPr>
        <w:tabs>
          <w:tab w:val="left" w:pos="1134"/>
          <w:tab w:val="left" w:pos="1701"/>
        </w:tabs>
        <w:spacing w:before="120" w:after="120"/>
        <w:ind w:left="1701" w:hanging="567"/>
        <w:rPr>
          <w:sz w:val="22"/>
          <w:lang w:val="en-US" w:eastAsia="en-GB"/>
        </w:rPr>
      </w:pPr>
      <w:r w:rsidRPr="00E05D1C">
        <w:rPr>
          <w:sz w:val="22"/>
          <w:lang w:val="en-US" w:eastAsia="en-GB"/>
        </w:rPr>
        <w:t xml:space="preserve">Commitment to continuous professional development. </w:t>
      </w:r>
    </w:p>
    <w:p w14:paraId="357F0E4B" w14:textId="77777777" w:rsidR="0063274D" w:rsidRPr="0063274D" w:rsidRDefault="0063274D" w:rsidP="0063274D">
      <w:pPr>
        <w:pStyle w:val="ListParagraph"/>
        <w:rPr>
          <w:rFonts w:cs="Arial"/>
          <w:b/>
          <w:szCs w:val="24"/>
        </w:rPr>
      </w:pPr>
    </w:p>
    <w:p w14:paraId="6654181A" w14:textId="77777777" w:rsidR="0063274D" w:rsidRPr="00681A84" w:rsidRDefault="0063274D" w:rsidP="009D35CD">
      <w:pPr>
        <w:pStyle w:val="ListParagraph"/>
        <w:ind w:left="567"/>
        <w:rPr>
          <w:rFonts w:cs="Arial"/>
          <w:b/>
          <w:szCs w:val="24"/>
        </w:rPr>
      </w:pPr>
    </w:p>
    <w:p w14:paraId="432D9A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3ACE7B10" w14:textId="77777777" w:rsidR="00581EEF" w:rsidRDefault="00581EEF" w:rsidP="00581EEF">
      <w:pPr>
        <w:ind w:left="567"/>
        <w:rPr>
          <w:rFonts w:cs="Arial"/>
        </w:rPr>
      </w:pP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0CA8C5CE" w14:textId="77777777" w:rsidR="00030679" w:rsidRDefault="00030679" w:rsidP="00030679">
            <w:pPr>
              <w:tabs>
                <w:tab w:val="left" w:pos="407"/>
              </w:tabs>
              <w:spacing w:after="120"/>
              <w:ind w:left="409"/>
              <w:rPr>
                <w:sz w:val="20"/>
                <w:lang w:eastAsia="en-GB"/>
              </w:rPr>
            </w:pPr>
          </w:p>
          <w:p w14:paraId="225E8B09" w14:textId="7B7D3009" w:rsidR="00030679" w:rsidRPr="008B649F" w:rsidRDefault="00030679" w:rsidP="008B649F">
            <w:pPr>
              <w:pStyle w:val="ListParagraph"/>
              <w:numPr>
                <w:ilvl w:val="0"/>
                <w:numId w:val="21"/>
              </w:numPr>
              <w:tabs>
                <w:tab w:val="left" w:pos="407"/>
              </w:tabs>
              <w:spacing w:after="120"/>
              <w:rPr>
                <w:sz w:val="20"/>
                <w:lang w:eastAsia="en-GB"/>
              </w:rPr>
            </w:pPr>
            <w:r w:rsidRPr="008B649F">
              <w:rPr>
                <w:sz w:val="20"/>
                <w:lang w:eastAsia="en-GB"/>
              </w:rPr>
              <w:t>social work qualification at degree level and current Social Work England registration</w:t>
            </w:r>
          </w:p>
          <w:p w14:paraId="6CFF7549" w14:textId="20088FA5" w:rsidR="00845787" w:rsidRPr="00030679" w:rsidRDefault="00030679" w:rsidP="008B649F">
            <w:pPr>
              <w:pStyle w:val="aTitle"/>
              <w:numPr>
                <w:ilvl w:val="0"/>
                <w:numId w:val="21"/>
              </w:numPr>
              <w:tabs>
                <w:tab w:val="clear" w:pos="4513"/>
                <w:tab w:val="clear" w:pos="9026"/>
              </w:tabs>
              <w:rPr>
                <w:rFonts w:cs="Arial"/>
                <w:b w:val="0"/>
                <w:bCs/>
                <w:iCs/>
                <w:noProof/>
                <w:color w:val="auto"/>
                <w:sz w:val="22"/>
                <w:lang w:eastAsia="en-GB"/>
              </w:rPr>
            </w:pPr>
            <w:r w:rsidRPr="00030679">
              <w:rPr>
                <w:b w:val="0"/>
                <w:bCs/>
                <w:color w:val="auto"/>
                <w:sz w:val="20"/>
              </w:rPr>
              <w:t>aptitude and intellectual curiosity for further study at post-graduate level</w:t>
            </w:r>
          </w:p>
        </w:tc>
        <w:tc>
          <w:tcPr>
            <w:tcW w:w="4961" w:type="dxa"/>
          </w:tcPr>
          <w:p w14:paraId="1F435507" w14:textId="77777777" w:rsidR="00845787" w:rsidRPr="00845787" w:rsidRDefault="00845787" w:rsidP="00D70625">
            <w:pPr>
              <w:pStyle w:val="aTitle"/>
              <w:tabs>
                <w:tab w:val="clear" w:pos="4513"/>
              </w:tabs>
              <w:ind w:left="312"/>
              <w:rPr>
                <w:rFonts w:cs="Arial"/>
                <w:b w:val="0"/>
                <w:noProof/>
                <w:color w:val="auto"/>
                <w:sz w:val="22"/>
                <w:lang w:eastAsia="en-GB"/>
              </w:rPr>
            </w:pPr>
          </w:p>
          <w:p w14:paraId="38CA1BBB" w14:textId="77777777" w:rsidR="00C36357" w:rsidRPr="00C36357" w:rsidRDefault="00C36357" w:rsidP="00C36357">
            <w:pPr>
              <w:numPr>
                <w:ilvl w:val="0"/>
                <w:numId w:val="17"/>
              </w:numPr>
              <w:tabs>
                <w:tab w:val="left" w:pos="407"/>
              </w:tabs>
              <w:spacing w:after="120"/>
              <w:rPr>
                <w:sz w:val="20"/>
                <w:lang w:eastAsia="en-GB"/>
              </w:rPr>
            </w:pPr>
            <w:r w:rsidRPr="00C36357">
              <w:rPr>
                <w:sz w:val="20"/>
                <w:lang w:eastAsia="en-GB"/>
              </w:rPr>
              <w:t xml:space="preserve">Practice Educator Professional Standards Stage 2 qualification </w:t>
            </w:r>
          </w:p>
          <w:p w14:paraId="3C9698AB" w14:textId="77777777" w:rsidR="00C36357" w:rsidRPr="00C36357" w:rsidRDefault="00C36357" w:rsidP="00C36357">
            <w:pPr>
              <w:numPr>
                <w:ilvl w:val="0"/>
                <w:numId w:val="17"/>
              </w:numPr>
              <w:tabs>
                <w:tab w:val="left" w:pos="407"/>
              </w:tabs>
              <w:spacing w:after="120"/>
              <w:rPr>
                <w:sz w:val="20"/>
                <w:lang w:eastAsia="en-GB"/>
              </w:rPr>
            </w:pPr>
            <w:r w:rsidRPr="00C36357">
              <w:rPr>
                <w:sz w:val="20"/>
                <w:lang w:eastAsia="en-GB"/>
              </w:rPr>
              <w:t>post-qualification CPD in social work practice and/or training and leading others</w:t>
            </w:r>
          </w:p>
          <w:p w14:paraId="7521A968" w14:textId="786BB9C0" w:rsidR="00845787" w:rsidRPr="00C36357" w:rsidRDefault="00C36357" w:rsidP="00C36357">
            <w:pPr>
              <w:pStyle w:val="aTitle"/>
              <w:numPr>
                <w:ilvl w:val="0"/>
                <w:numId w:val="17"/>
              </w:numPr>
              <w:tabs>
                <w:tab w:val="clear" w:pos="4513"/>
              </w:tabs>
              <w:rPr>
                <w:rFonts w:cs="Arial"/>
                <w:b w:val="0"/>
                <w:bCs/>
                <w:noProof/>
                <w:color w:val="auto"/>
                <w:sz w:val="22"/>
                <w:lang w:eastAsia="en-GB"/>
              </w:rPr>
            </w:pPr>
            <w:r w:rsidRPr="00C36357">
              <w:rPr>
                <w:b w:val="0"/>
                <w:bCs/>
                <w:color w:val="auto"/>
                <w:sz w:val="20"/>
                <w:lang w:eastAsia="en-GB"/>
              </w:rPr>
              <w:t>Postgraduate Certificate in Advanced Social Work</w:t>
            </w:r>
          </w:p>
        </w:tc>
      </w:tr>
      <w:tr w:rsidR="00040EE4" w14:paraId="34FBA4F4" w14:textId="77777777" w:rsidTr="00040EE4">
        <w:trPr>
          <w:trHeight w:val="1712"/>
        </w:trPr>
        <w:tc>
          <w:tcPr>
            <w:tcW w:w="1671" w:type="dxa"/>
            <w:shd w:val="clear" w:color="auto" w:fill="F2F2F2" w:themeFill="background1" w:themeFillShade="F2"/>
          </w:tcPr>
          <w:p w14:paraId="1BA5FEB5" w14:textId="77777777" w:rsidR="00845787" w:rsidRPr="00845787" w:rsidRDefault="00845787" w:rsidP="00D70625">
            <w:pPr>
              <w:pStyle w:val="aTitle"/>
              <w:tabs>
                <w:tab w:val="clear" w:pos="4513"/>
              </w:tabs>
              <w:rPr>
                <w:rFonts w:cs="Arial"/>
                <w:noProof/>
                <w:color w:val="auto"/>
                <w:sz w:val="22"/>
                <w:lang w:eastAsia="en-GB"/>
              </w:rPr>
            </w:pPr>
          </w:p>
          <w:p w14:paraId="4A291F2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269CD3E4" w14:textId="77777777" w:rsidR="00845787" w:rsidRPr="008B649F" w:rsidRDefault="00845787" w:rsidP="00D70625">
            <w:pPr>
              <w:pStyle w:val="aTitle"/>
              <w:tabs>
                <w:tab w:val="clear" w:pos="4513"/>
                <w:tab w:val="clear" w:pos="9026"/>
              </w:tabs>
              <w:rPr>
                <w:rFonts w:cs="Arial"/>
                <w:bCs/>
                <w:noProof/>
                <w:color w:val="auto"/>
                <w:sz w:val="22"/>
                <w:lang w:eastAsia="en-GB"/>
              </w:rPr>
            </w:pPr>
          </w:p>
          <w:p w14:paraId="6B6F55F6" w14:textId="1BE85B9E" w:rsidR="00BE54C1" w:rsidRDefault="008B649F" w:rsidP="00BE54C1">
            <w:pPr>
              <w:pStyle w:val="ListParagraph"/>
              <w:numPr>
                <w:ilvl w:val="0"/>
                <w:numId w:val="29"/>
              </w:numPr>
              <w:tabs>
                <w:tab w:val="left" w:pos="407"/>
              </w:tabs>
              <w:spacing w:after="120"/>
              <w:rPr>
                <w:sz w:val="20"/>
                <w:lang w:eastAsia="en-GB"/>
              </w:rPr>
            </w:pPr>
            <w:r w:rsidRPr="00B82CC9">
              <w:rPr>
                <w:sz w:val="20"/>
                <w:lang w:eastAsia="en-GB"/>
              </w:rPr>
              <w:t>significant social work experience in community mental health settings</w:t>
            </w:r>
          </w:p>
          <w:p w14:paraId="3C0F8EBF" w14:textId="77777777" w:rsidR="00BE54C1" w:rsidRPr="00BE54C1" w:rsidRDefault="00BE54C1" w:rsidP="00BE54C1">
            <w:pPr>
              <w:pStyle w:val="ListParagraph"/>
              <w:tabs>
                <w:tab w:val="left" w:pos="407"/>
              </w:tabs>
              <w:spacing w:after="120"/>
              <w:ind w:left="1080"/>
              <w:rPr>
                <w:sz w:val="20"/>
                <w:lang w:eastAsia="en-GB"/>
              </w:rPr>
            </w:pPr>
          </w:p>
          <w:p w14:paraId="25EC1846" w14:textId="77777777" w:rsidR="008B649F" w:rsidRPr="00B82CC9" w:rsidRDefault="008B649F" w:rsidP="00B82CC9">
            <w:pPr>
              <w:pStyle w:val="ListParagraph"/>
              <w:numPr>
                <w:ilvl w:val="0"/>
                <w:numId w:val="29"/>
              </w:numPr>
              <w:tabs>
                <w:tab w:val="left" w:pos="407"/>
              </w:tabs>
              <w:spacing w:after="120"/>
              <w:rPr>
                <w:sz w:val="20"/>
                <w:lang w:eastAsia="en-GB"/>
              </w:rPr>
            </w:pPr>
            <w:r w:rsidRPr="00B82CC9">
              <w:rPr>
                <w:sz w:val="20"/>
                <w:lang w:eastAsia="en-GB"/>
              </w:rPr>
              <w:t>highly skilled in mental health social work with individuals, groups and communities</w:t>
            </w:r>
          </w:p>
          <w:p w14:paraId="0D8B1B05" w14:textId="271BED83" w:rsidR="00621974" w:rsidRPr="00621974" w:rsidRDefault="009A7161" w:rsidP="00B82CC9">
            <w:pPr>
              <w:pStyle w:val="aTitle"/>
              <w:numPr>
                <w:ilvl w:val="0"/>
                <w:numId w:val="29"/>
              </w:numPr>
              <w:tabs>
                <w:tab w:val="clear" w:pos="4513"/>
                <w:tab w:val="clear" w:pos="9026"/>
              </w:tabs>
              <w:rPr>
                <w:rFonts w:cs="Arial"/>
                <w:b w:val="0"/>
                <w:i/>
                <w:noProof/>
                <w:color w:val="auto"/>
                <w:sz w:val="22"/>
                <w:lang w:eastAsia="en-GB"/>
              </w:rPr>
            </w:pPr>
            <w:r>
              <w:rPr>
                <w:b w:val="0"/>
                <w:color w:val="auto"/>
                <w:sz w:val="20"/>
                <w:lang w:eastAsia="en-GB"/>
              </w:rPr>
              <w:t xml:space="preserve">direct </w:t>
            </w:r>
            <w:r w:rsidR="00BE54C1">
              <w:rPr>
                <w:b w:val="0"/>
                <w:color w:val="auto"/>
                <w:sz w:val="20"/>
                <w:lang w:eastAsia="en-GB"/>
              </w:rPr>
              <w:t>e</w:t>
            </w:r>
            <w:r w:rsidR="008B649F" w:rsidRPr="008B649F">
              <w:rPr>
                <w:b w:val="0"/>
                <w:color w:val="auto"/>
                <w:sz w:val="20"/>
                <w:lang w:eastAsia="en-GB"/>
              </w:rPr>
              <w:t>xperience</w:t>
            </w:r>
            <w:r>
              <w:rPr>
                <w:b w:val="0"/>
                <w:color w:val="auto"/>
                <w:sz w:val="20"/>
                <w:lang w:eastAsia="en-GB"/>
              </w:rPr>
              <w:t xml:space="preserve"> of</w:t>
            </w:r>
            <w:r w:rsidR="008B649F" w:rsidRPr="008B649F">
              <w:rPr>
                <w:b w:val="0"/>
                <w:color w:val="auto"/>
                <w:sz w:val="20"/>
                <w:lang w:eastAsia="en-GB"/>
              </w:rPr>
              <w:t xml:space="preserve"> supervising students in practice and in supporting the application of social models of practice.</w:t>
            </w:r>
          </w:p>
        </w:tc>
        <w:tc>
          <w:tcPr>
            <w:tcW w:w="4961" w:type="dxa"/>
          </w:tcPr>
          <w:p w14:paraId="2C984A63" w14:textId="77777777" w:rsidR="00845787" w:rsidRPr="00845787" w:rsidRDefault="00845787" w:rsidP="00D70625">
            <w:pPr>
              <w:pStyle w:val="aTitle"/>
              <w:tabs>
                <w:tab w:val="clear" w:pos="4513"/>
              </w:tabs>
              <w:rPr>
                <w:rFonts w:cs="Arial"/>
                <w:b w:val="0"/>
                <w:noProof/>
                <w:color w:val="auto"/>
                <w:sz w:val="22"/>
                <w:lang w:eastAsia="en-GB"/>
              </w:rPr>
            </w:pPr>
          </w:p>
          <w:p w14:paraId="77E074D2" w14:textId="77777777" w:rsidR="0017796C" w:rsidRDefault="0017796C" w:rsidP="0017796C">
            <w:pPr>
              <w:numPr>
                <w:ilvl w:val="0"/>
                <w:numId w:val="17"/>
              </w:numPr>
              <w:tabs>
                <w:tab w:val="left" w:pos="407"/>
              </w:tabs>
              <w:spacing w:after="120"/>
              <w:rPr>
                <w:sz w:val="20"/>
                <w:lang w:eastAsia="en-GB"/>
              </w:rPr>
            </w:pPr>
            <w:r w:rsidRPr="005B2C18">
              <w:rPr>
                <w:sz w:val="20"/>
                <w:lang w:eastAsia="en-GB"/>
              </w:rPr>
              <w:t xml:space="preserve">experience of supervising or mentoring other practitioners </w:t>
            </w:r>
          </w:p>
          <w:p w14:paraId="696A7AF3" w14:textId="0D7B03AD" w:rsidR="00845787" w:rsidRPr="00845787" w:rsidRDefault="00845787" w:rsidP="0017796C">
            <w:pPr>
              <w:pStyle w:val="aTitle"/>
              <w:tabs>
                <w:tab w:val="clear" w:pos="4513"/>
              </w:tabs>
              <w:ind w:left="720"/>
              <w:rPr>
                <w:rFonts w:cs="Arial"/>
                <w:b w:val="0"/>
                <w:noProof/>
                <w:color w:val="auto"/>
                <w:sz w:val="22"/>
                <w:lang w:eastAsia="en-GB"/>
              </w:rPr>
            </w:pPr>
          </w:p>
        </w:tc>
      </w:tr>
      <w:tr w:rsidR="00040EE4" w14:paraId="4CD92E5B" w14:textId="77777777" w:rsidTr="00040EE4">
        <w:trPr>
          <w:trHeight w:val="1962"/>
        </w:trPr>
        <w:tc>
          <w:tcPr>
            <w:tcW w:w="1671" w:type="dxa"/>
            <w:shd w:val="clear" w:color="auto" w:fill="F2F2F2" w:themeFill="background1" w:themeFillShade="F2"/>
          </w:tcPr>
          <w:p w14:paraId="34F3F4F7" w14:textId="77777777" w:rsidR="00845787" w:rsidRPr="00845787" w:rsidRDefault="00845787" w:rsidP="00D70625">
            <w:pPr>
              <w:pStyle w:val="aTitle"/>
              <w:tabs>
                <w:tab w:val="clear" w:pos="4513"/>
              </w:tabs>
              <w:rPr>
                <w:rFonts w:cs="Arial"/>
                <w:noProof/>
                <w:color w:val="auto"/>
                <w:sz w:val="22"/>
                <w:lang w:eastAsia="en-GB"/>
              </w:rPr>
            </w:pPr>
          </w:p>
          <w:p w14:paraId="0E0976C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C1EA256" w14:textId="443EB0C7" w:rsidR="00845787" w:rsidRDefault="00845787" w:rsidP="00D70625">
            <w:pPr>
              <w:pStyle w:val="aTitle"/>
              <w:tabs>
                <w:tab w:val="clear" w:pos="4513"/>
                <w:tab w:val="clear" w:pos="9026"/>
              </w:tabs>
              <w:rPr>
                <w:rFonts w:cs="Arial"/>
                <w:b w:val="0"/>
                <w:noProof/>
                <w:color w:val="auto"/>
                <w:sz w:val="22"/>
                <w:lang w:eastAsia="en-GB"/>
              </w:rPr>
            </w:pPr>
          </w:p>
          <w:p w14:paraId="7D81006C" w14:textId="77777777" w:rsidR="00115C60" w:rsidRPr="005B2C18" w:rsidRDefault="00115C60" w:rsidP="00115C60">
            <w:pPr>
              <w:numPr>
                <w:ilvl w:val="0"/>
                <w:numId w:val="24"/>
              </w:numPr>
              <w:tabs>
                <w:tab w:val="left" w:pos="407"/>
              </w:tabs>
              <w:spacing w:after="120"/>
              <w:ind w:left="409" w:hanging="386"/>
              <w:rPr>
                <w:sz w:val="20"/>
                <w:lang w:eastAsia="en-GB"/>
              </w:rPr>
            </w:pPr>
            <w:r w:rsidRPr="005B2C18">
              <w:rPr>
                <w:sz w:val="20"/>
                <w:lang w:eastAsia="en-GB"/>
              </w:rPr>
              <w:t>excellent risk assessment and risk management skills</w:t>
            </w:r>
          </w:p>
          <w:p w14:paraId="58FA32CF" w14:textId="77777777" w:rsidR="00115C60" w:rsidRPr="005B2C18" w:rsidRDefault="00115C60" w:rsidP="00115C60">
            <w:pPr>
              <w:numPr>
                <w:ilvl w:val="0"/>
                <w:numId w:val="24"/>
              </w:numPr>
              <w:tabs>
                <w:tab w:val="left" w:pos="407"/>
              </w:tabs>
              <w:spacing w:after="120"/>
              <w:ind w:left="409" w:hanging="386"/>
              <w:rPr>
                <w:sz w:val="20"/>
                <w:lang w:eastAsia="en-GB"/>
              </w:rPr>
            </w:pPr>
            <w:r w:rsidRPr="005B2C18">
              <w:rPr>
                <w:sz w:val="20"/>
                <w:lang w:eastAsia="en-GB"/>
              </w:rPr>
              <w:t>ability to employ own knowledge, experience, practice skills, networks and values to create a rich and inspirational learning experience</w:t>
            </w:r>
          </w:p>
          <w:p w14:paraId="117C078B" w14:textId="77777777" w:rsidR="00115C60" w:rsidRPr="005B2C18" w:rsidRDefault="00115C60" w:rsidP="00115C60">
            <w:pPr>
              <w:numPr>
                <w:ilvl w:val="0"/>
                <w:numId w:val="24"/>
              </w:numPr>
              <w:tabs>
                <w:tab w:val="left" w:pos="407"/>
              </w:tabs>
              <w:spacing w:after="120"/>
              <w:ind w:left="409" w:hanging="386"/>
              <w:rPr>
                <w:sz w:val="20"/>
                <w:lang w:eastAsia="en-GB"/>
              </w:rPr>
            </w:pPr>
            <w:r w:rsidRPr="005B2C18">
              <w:rPr>
                <w:sz w:val="20"/>
                <w:lang w:eastAsia="en-GB"/>
              </w:rPr>
              <w:t>confidence in critically and constructively reflecting on others’ social work practice</w:t>
            </w:r>
          </w:p>
          <w:p w14:paraId="5E3A18E4" w14:textId="77777777" w:rsidR="00115C60" w:rsidRPr="005B2C18" w:rsidRDefault="00115C60" w:rsidP="00115C60">
            <w:pPr>
              <w:numPr>
                <w:ilvl w:val="0"/>
                <w:numId w:val="24"/>
              </w:numPr>
              <w:tabs>
                <w:tab w:val="left" w:pos="407"/>
              </w:tabs>
              <w:spacing w:after="120"/>
              <w:ind w:left="409" w:hanging="386"/>
              <w:rPr>
                <w:sz w:val="20"/>
                <w:lang w:eastAsia="en-GB"/>
              </w:rPr>
            </w:pPr>
            <w:r w:rsidRPr="005B2C18">
              <w:rPr>
                <w:sz w:val="20"/>
                <w:lang w:eastAsia="en-GB"/>
              </w:rPr>
              <w:t>knowledge of relevant legislation and policy, with the ability to apply this knowledge to practice</w:t>
            </w:r>
          </w:p>
          <w:p w14:paraId="75D9C1E9" w14:textId="77777777" w:rsidR="00115C60" w:rsidRPr="00750139" w:rsidRDefault="00115C60" w:rsidP="00115C60">
            <w:pPr>
              <w:numPr>
                <w:ilvl w:val="0"/>
                <w:numId w:val="24"/>
              </w:numPr>
              <w:tabs>
                <w:tab w:val="left" w:pos="407"/>
              </w:tabs>
              <w:spacing w:after="120"/>
              <w:ind w:left="409" w:hanging="386"/>
              <w:rPr>
                <w:sz w:val="20"/>
                <w:lang w:eastAsia="en-GB"/>
              </w:rPr>
            </w:pPr>
            <w:r w:rsidRPr="005B2C18">
              <w:rPr>
                <w:sz w:val="20"/>
                <w:lang w:eastAsia="en-GB"/>
              </w:rPr>
              <w:t>awareness of theories, models of intervention and research activity that underpin best practice in adult mental health social work</w:t>
            </w:r>
          </w:p>
          <w:p w14:paraId="3DF0F4BE" w14:textId="77777777" w:rsidR="00115C60" w:rsidRPr="00750139" w:rsidRDefault="00115C60" w:rsidP="00115C60">
            <w:pPr>
              <w:numPr>
                <w:ilvl w:val="0"/>
                <w:numId w:val="24"/>
              </w:numPr>
              <w:tabs>
                <w:tab w:val="left" w:pos="407"/>
              </w:tabs>
              <w:spacing w:after="120"/>
              <w:ind w:left="409" w:hanging="386"/>
              <w:rPr>
                <w:sz w:val="20"/>
                <w:lang w:eastAsia="en-GB"/>
              </w:rPr>
            </w:pPr>
            <w:r w:rsidRPr="00750139">
              <w:rPr>
                <w:sz w:val="20"/>
                <w:lang w:eastAsia="en-GB"/>
              </w:rPr>
              <w:t>excellent analytical, influencing and negotiation skills</w:t>
            </w:r>
          </w:p>
          <w:p w14:paraId="5FE9E27B" w14:textId="77777777" w:rsidR="00115C60" w:rsidRPr="00750139" w:rsidRDefault="00115C60" w:rsidP="00115C60">
            <w:pPr>
              <w:numPr>
                <w:ilvl w:val="0"/>
                <w:numId w:val="24"/>
              </w:numPr>
              <w:tabs>
                <w:tab w:val="left" w:pos="407"/>
              </w:tabs>
              <w:spacing w:after="120"/>
              <w:ind w:left="409" w:hanging="386"/>
              <w:rPr>
                <w:sz w:val="20"/>
                <w:lang w:eastAsia="en-GB"/>
              </w:rPr>
            </w:pPr>
            <w:r w:rsidRPr="00750139">
              <w:rPr>
                <w:sz w:val="20"/>
                <w:lang w:eastAsia="en-GB"/>
              </w:rPr>
              <w:t>excellent written and verbal communication skills</w:t>
            </w:r>
          </w:p>
          <w:p w14:paraId="2AA27123" w14:textId="77777777" w:rsidR="00115C60" w:rsidRPr="005B2C18" w:rsidRDefault="00115C60" w:rsidP="00115C60">
            <w:pPr>
              <w:numPr>
                <w:ilvl w:val="0"/>
                <w:numId w:val="24"/>
              </w:numPr>
              <w:tabs>
                <w:tab w:val="left" w:pos="407"/>
              </w:tabs>
              <w:spacing w:after="120"/>
              <w:ind w:left="409" w:hanging="386"/>
              <w:rPr>
                <w:sz w:val="20"/>
                <w:lang w:eastAsia="en-GB"/>
              </w:rPr>
            </w:pPr>
            <w:r w:rsidRPr="005B2C18">
              <w:rPr>
                <w:sz w:val="20"/>
                <w:lang w:eastAsia="en-GB"/>
              </w:rPr>
              <w:t>IT literacy</w:t>
            </w:r>
          </w:p>
          <w:p w14:paraId="34DB0722" w14:textId="77777777" w:rsidR="00115C60" w:rsidRPr="00750139" w:rsidRDefault="00115C60" w:rsidP="00115C60">
            <w:pPr>
              <w:numPr>
                <w:ilvl w:val="0"/>
                <w:numId w:val="24"/>
              </w:numPr>
              <w:tabs>
                <w:tab w:val="left" w:pos="407"/>
              </w:tabs>
              <w:spacing w:after="120"/>
              <w:ind w:left="409" w:hanging="386"/>
              <w:rPr>
                <w:sz w:val="20"/>
                <w:lang w:eastAsia="en-GB"/>
              </w:rPr>
            </w:pPr>
            <w:r w:rsidRPr="00750139">
              <w:rPr>
                <w:sz w:val="20"/>
                <w:lang w:eastAsia="en-GB"/>
              </w:rPr>
              <w:t>Current driving licence/ car owner or access to a means of mobility support. (If driving must have current valid driving licence and appropriate insurance</w:t>
            </w:r>
          </w:p>
          <w:p w14:paraId="34108C40" w14:textId="79E13170" w:rsidR="00115C60" w:rsidRDefault="00115C60" w:rsidP="00D70625">
            <w:pPr>
              <w:pStyle w:val="aTitle"/>
              <w:tabs>
                <w:tab w:val="clear" w:pos="4513"/>
                <w:tab w:val="clear" w:pos="9026"/>
              </w:tabs>
              <w:rPr>
                <w:rFonts w:cs="Arial"/>
                <w:b w:val="0"/>
                <w:noProof/>
                <w:color w:val="auto"/>
                <w:sz w:val="22"/>
                <w:lang w:eastAsia="en-GB"/>
              </w:rPr>
            </w:pPr>
          </w:p>
          <w:p w14:paraId="4F328CBF" w14:textId="614E6D5A" w:rsidR="00115C60" w:rsidRDefault="00115C60" w:rsidP="00D70625">
            <w:pPr>
              <w:pStyle w:val="aTitle"/>
              <w:tabs>
                <w:tab w:val="clear" w:pos="4513"/>
                <w:tab w:val="clear" w:pos="9026"/>
              </w:tabs>
              <w:rPr>
                <w:rFonts w:cs="Arial"/>
                <w:b w:val="0"/>
                <w:noProof/>
                <w:color w:val="auto"/>
                <w:sz w:val="22"/>
                <w:lang w:eastAsia="en-GB"/>
              </w:rPr>
            </w:pPr>
          </w:p>
          <w:p w14:paraId="18C5FA1A" w14:textId="7E187A34" w:rsidR="00115C60" w:rsidRDefault="00115C60" w:rsidP="00D70625">
            <w:pPr>
              <w:pStyle w:val="aTitle"/>
              <w:tabs>
                <w:tab w:val="clear" w:pos="4513"/>
                <w:tab w:val="clear" w:pos="9026"/>
              </w:tabs>
              <w:rPr>
                <w:rFonts w:cs="Arial"/>
                <w:b w:val="0"/>
                <w:noProof/>
                <w:color w:val="auto"/>
                <w:sz w:val="22"/>
                <w:lang w:eastAsia="en-GB"/>
              </w:rPr>
            </w:pPr>
          </w:p>
          <w:p w14:paraId="0C151707" w14:textId="77777777" w:rsidR="00115C60" w:rsidRPr="00845787" w:rsidRDefault="00115C60" w:rsidP="00D70625">
            <w:pPr>
              <w:pStyle w:val="aTitle"/>
              <w:tabs>
                <w:tab w:val="clear" w:pos="4513"/>
                <w:tab w:val="clear" w:pos="9026"/>
              </w:tabs>
              <w:rPr>
                <w:rFonts w:cs="Arial"/>
                <w:b w:val="0"/>
                <w:noProof/>
                <w:color w:val="auto"/>
                <w:sz w:val="22"/>
                <w:lang w:eastAsia="en-GB"/>
              </w:rPr>
            </w:pPr>
          </w:p>
          <w:p w14:paraId="41067EA4" w14:textId="6ABE7C4E" w:rsidR="00621974" w:rsidRPr="008061D3" w:rsidRDefault="00621974" w:rsidP="00115C60">
            <w:pPr>
              <w:tabs>
                <w:tab w:val="left" w:pos="407"/>
              </w:tabs>
              <w:spacing w:after="120"/>
              <w:ind w:left="409"/>
              <w:rPr>
                <w:rFonts w:cs="Arial"/>
                <w:b/>
                <w:i/>
                <w:noProof/>
                <w:sz w:val="22"/>
                <w:lang w:eastAsia="en-GB"/>
              </w:rPr>
            </w:pPr>
          </w:p>
        </w:tc>
        <w:tc>
          <w:tcPr>
            <w:tcW w:w="4961" w:type="dxa"/>
          </w:tcPr>
          <w:p w14:paraId="61E29774" w14:textId="4348C676" w:rsidR="00845787" w:rsidRPr="00845787" w:rsidRDefault="00845787" w:rsidP="007F6959">
            <w:pPr>
              <w:pStyle w:val="aTitle"/>
              <w:tabs>
                <w:tab w:val="clear" w:pos="4513"/>
              </w:tabs>
              <w:ind w:left="312"/>
              <w:rPr>
                <w:rFonts w:cs="Arial"/>
                <w:b w:val="0"/>
                <w:noProof/>
                <w:color w:val="auto"/>
                <w:sz w:val="22"/>
                <w:lang w:eastAsia="en-GB"/>
              </w:rPr>
            </w:pPr>
          </w:p>
        </w:tc>
      </w:tr>
      <w:tr w:rsidR="00040EE4" w14:paraId="6DC7125D" w14:textId="77777777" w:rsidTr="00040EE4">
        <w:trPr>
          <w:trHeight w:val="2794"/>
        </w:trPr>
        <w:tc>
          <w:tcPr>
            <w:tcW w:w="1671" w:type="dxa"/>
            <w:shd w:val="clear" w:color="auto" w:fill="F2F2F2" w:themeFill="background1" w:themeFillShade="F2"/>
          </w:tcPr>
          <w:p w14:paraId="42D44482" w14:textId="77777777" w:rsidR="00845787" w:rsidRPr="00845787" w:rsidRDefault="00845787" w:rsidP="00D70625">
            <w:pPr>
              <w:pStyle w:val="aTitle"/>
              <w:tabs>
                <w:tab w:val="clear" w:pos="4513"/>
              </w:tabs>
              <w:rPr>
                <w:rFonts w:cs="Arial"/>
                <w:noProof/>
                <w:color w:val="auto"/>
                <w:sz w:val="22"/>
                <w:lang w:eastAsia="en-GB"/>
              </w:rPr>
            </w:pPr>
          </w:p>
          <w:p w14:paraId="6454F4D5"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A4185C4"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5721A30" w14:textId="77777777" w:rsidR="008061D3" w:rsidRDefault="008061D3" w:rsidP="008061D3">
            <w:pPr>
              <w:pStyle w:val="aTitle"/>
              <w:tabs>
                <w:tab w:val="clear" w:pos="4513"/>
                <w:tab w:val="clear" w:pos="9026"/>
              </w:tabs>
              <w:rPr>
                <w:rFonts w:cs="Arial"/>
                <w:b w:val="0"/>
                <w:noProof/>
                <w:color w:val="auto"/>
                <w:sz w:val="22"/>
                <w:lang w:eastAsia="en-GB"/>
              </w:rPr>
            </w:pPr>
          </w:p>
          <w:p w14:paraId="4960EAE4" w14:textId="77777777" w:rsidR="0042136A" w:rsidRPr="005B2C18" w:rsidRDefault="0042136A" w:rsidP="0042136A">
            <w:pPr>
              <w:numPr>
                <w:ilvl w:val="0"/>
                <w:numId w:val="24"/>
              </w:numPr>
              <w:tabs>
                <w:tab w:val="left" w:pos="407"/>
              </w:tabs>
              <w:ind w:left="407" w:hanging="386"/>
              <w:rPr>
                <w:sz w:val="20"/>
                <w:lang w:eastAsia="en-GB"/>
              </w:rPr>
            </w:pPr>
            <w:r w:rsidRPr="005B2C18">
              <w:rPr>
                <w:sz w:val="20"/>
                <w:lang w:eastAsia="en-GB"/>
              </w:rPr>
              <w:t>We expect Consultant Social Workers to role-model the personal qualities that we expect of our participants:</w:t>
            </w:r>
          </w:p>
          <w:p w14:paraId="26200DA3" w14:textId="77777777" w:rsidR="0042136A" w:rsidRPr="005B2C18" w:rsidRDefault="0042136A" w:rsidP="0042136A">
            <w:pPr>
              <w:tabs>
                <w:tab w:val="left" w:pos="407"/>
              </w:tabs>
              <w:ind w:left="407"/>
              <w:rPr>
                <w:sz w:val="20"/>
                <w:lang w:eastAsia="en-GB"/>
              </w:rPr>
            </w:pPr>
          </w:p>
          <w:p w14:paraId="36B7F3C4" w14:textId="77777777" w:rsidR="0042136A" w:rsidRPr="00D440A9" w:rsidRDefault="0042136A" w:rsidP="00D440A9">
            <w:pPr>
              <w:pStyle w:val="ListParagraph"/>
              <w:numPr>
                <w:ilvl w:val="0"/>
                <w:numId w:val="27"/>
              </w:numPr>
              <w:tabs>
                <w:tab w:val="left" w:pos="407"/>
                <w:tab w:val="left" w:pos="871"/>
              </w:tabs>
              <w:spacing w:after="120"/>
              <w:rPr>
                <w:sz w:val="20"/>
                <w:lang w:eastAsia="en-GB"/>
              </w:rPr>
            </w:pPr>
            <w:r w:rsidRPr="00D440A9">
              <w:rPr>
                <w:sz w:val="20"/>
                <w:lang w:eastAsia="en-GB"/>
              </w:rPr>
              <w:t>Adaptability: resilience and flexibility in changing circumstances with the ability to work under pressure and deal with uncertain or unexpected outcomes. Managing workplace stress, an organised work style and the ability to prioritise to meet deadlines are also important.</w:t>
            </w:r>
          </w:p>
          <w:p w14:paraId="4A0F7FF8" w14:textId="77777777" w:rsidR="0042136A" w:rsidRPr="00D440A9" w:rsidRDefault="0042136A" w:rsidP="00D440A9">
            <w:pPr>
              <w:pStyle w:val="ListParagraph"/>
              <w:numPr>
                <w:ilvl w:val="0"/>
                <w:numId w:val="27"/>
              </w:numPr>
              <w:tabs>
                <w:tab w:val="left" w:pos="407"/>
                <w:tab w:val="left" w:pos="871"/>
              </w:tabs>
              <w:spacing w:after="120"/>
              <w:rPr>
                <w:sz w:val="20"/>
                <w:lang w:eastAsia="en-GB"/>
              </w:rPr>
            </w:pPr>
            <w:r w:rsidRPr="00D440A9">
              <w:rPr>
                <w:sz w:val="20"/>
                <w:lang w:eastAsia="en-GB"/>
              </w:rPr>
              <w:t xml:space="preserve">Motivation: a personal commitment to improving people’s lives through better mental health, with an understanding of the positive impact of social work and Think </w:t>
            </w:r>
            <w:proofErr w:type="spellStart"/>
            <w:r w:rsidRPr="00D440A9">
              <w:rPr>
                <w:sz w:val="20"/>
                <w:lang w:eastAsia="en-GB"/>
              </w:rPr>
              <w:t>Ahead’s</w:t>
            </w:r>
            <w:proofErr w:type="spellEnd"/>
            <w:r w:rsidRPr="00D440A9">
              <w:rPr>
                <w:sz w:val="20"/>
                <w:lang w:eastAsia="en-GB"/>
              </w:rPr>
              <w:t xml:space="preserve"> mission.</w:t>
            </w:r>
          </w:p>
          <w:p w14:paraId="4FAD17CC" w14:textId="231FCA8E" w:rsidR="0042136A" w:rsidRPr="00D440A9" w:rsidRDefault="0042136A" w:rsidP="00D440A9">
            <w:pPr>
              <w:pStyle w:val="ListParagraph"/>
              <w:numPr>
                <w:ilvl w:val="0"/>
                <w:numId w:val="27"/>
              </w:numPr>
              <w:tabs>
                <w:tab w:val="left" w:pos="407"/>
                <w:tab w:val="left" w:pos="871"/>
              </w:tabs>
              <w:spacing w:after="120"/>
              <w:rPr>
                <w:sz w:val="20"/>
                <w:lang w:eastAsia="en-GB"/>
              </w:rPr>
            </w:pPr>
            <w:r w:rsidRPr="00D440A9">
              <w:rPr>
                <w:sz w:val="20"/>
                <w:lang w:eastAsia="en-GB"/>
              </w:rPr>
              <w:t>Relationship building: Empathy and respect for all individuals, with the ability to build relationships and understand people’s motives and perspectives.</w:t>
            </w:r>
          </w:p>
          <w:p w14:paraId="3E76CA9F" w14:textId="77777777" w:rsidR="0042136A" w:rsidRPr="00D440A9" w:rsidRDefault="0042136A" w:rsidP="00D440A9">
            <w:pPr>
              <w:pStyle w:val="ListParagraph"/>
              <w:numPr>
                <w:ilvl w:val="0"/>
                <w:numId w:val="27"/>
              </w:numPr>
              <w:tabs>
                <w:tab w:val="left" w:pos="407"/>
                <w:tab w:val="left" w:pos="871"/>
              </w:tabs>
              <w:spacing w:after="120"/>
              <w:rPr>
                <w:sz w:val="20"/>
                <w:lang w:eastAsia="en-GB"/>
              </w:rPr>
            </w:pPr>
            <w:r w:rsidRPr="00D440A9">
              <w:rPr>
                <w:sz w:val="20"/>
                <w:lang w:eastAsia="en-GB"/>
              </w:rPr>
              <w:t>Problem-solving: The ability to objectively analyse situations, using evidence and clear judgement to generate effective solutions.</w:t>
            </w:r>
          </w:p>
          <w:p w14:paraId="5113C8C9" w14:textId="77777777" w:rsidR="00BE54C1" w:rsidRDefault="0042136A" w:rsidP="00BE54C1">
            <w:pPr>
              <w:pStyle w:val="ListParagraph"/>
              <w:numPr>
                <w:ilvl w:val="0"/>
                <w:numId w:val="27"/>
              </w:numPr>
              <w:tabs>
                <w:tab w:val="left" w:pos="407"/>
                <w:tab w:val="left" w:pos="871"/>
              </w:tabs>
              <w:spacing w:after="120"/>
              <w:rPr>
                <w:sz w:val="20"/>
                <w:lang w:eastAsia="en-GB"/>
              </w:rPr>
            </w:pPr>
            <w:r w:rsidRPr="00D440A9">
              <w:rPr>
                <w:sz w:val="20"/>
                <w:lang w:eastAsia="en-GB"/>
              </w:rPr>
              <w:t>Self-awareness: The ability to understand, and reflect critically on, both your own personal development and how your actions affect others.</w:t>
            </w:r>
          </w:p>
          <w:p w14:paraId="69ADC98F" w14:textId="27FA86D8" w:rsidR="00040EE4" w:rsidRPr="00BE54C1" w:rsidRDefault="0042136A" w:rsidP="00BE54C1">
            <w:pPr>
              <w:pStyle w:val="ListParagraph"/>
              <w:numPr>
                <w:ilvl w:val="0"/>
                <w:numId w:val="27"/>
              </w:numPr>
              <w:tabs>
                <w:tab w:val="left" w:pos="407"/>
                <w:tab w:val="left" w:pos="871"/>
              </w:tabs>
              <w:spacing w:after="120"/>
              <w:rPr>
                <w:sz w:val="20"/>
                <w:lang w:eastAsia="en-GB"/>
              </w:rPr>
            </w:pPr>
            <w:r w:rsidRPr="00BE54C1">
              <w:rPr>
                <w:bCs/>
                <w:sz w:val="20"/>
                <w:lang w:eastAsia="en-GB"/>
              </w:rPr>
              <w:t>Communication: The ability to collaborate with and influence a wide range of people, in person and through written communication</w:t>
            </w:r>
          </w:p>
        </w:tc>
        <w:tc>
          <w:tcPr>
            <w:tcW w:w="4961" w:type="dxa"/>
          </w:tcPr>
          <w:p w14:paraId="50AF3D14" w14:textId="59F262B3" w:rsidR="00845787" w:rsidRPr="008061D3" w:rsidRDefault="00845787" w:rsidP="007F6959">
            <w:pPr>
              <w:pStyle w:val="aTitle"/>
              <w:tabs>
                <w:tab w:val="clear" w:pos="4513"/>
                <w:tab w:val="clear" w:pos="9026"/>
              </w:tabs>
              <w:ind w:left="325"/>
              <w:rPr>
                <w:rFonts w:cs="Arial"/>
                <w:b w:val="0"/>
                <w:noProof/>
                <w:color w:val="auto"/>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73380"/>
    <w:multiLevelType w:val="hybridMultilevel"/>
    <w:tmpl w:val="DAD8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A66402"/>
    <w:multiLevelType w:val="hybridMultilevel"/>
    <w:tmpl w:val="CCC89F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A26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590E05"/>
    <w:multiLevelType w:val="hybridMultilevel"/>
    <w:tmpl w:val="8B54A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5016E"/>
    <w:multiLevelType w:val="hybridMultilevel"/>
    <w:tmpl w:val="127A5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60767"/>
    <w:multiLevelType w:val="hybridMultilevel"/>
    <w:tmpl w:val="73FADD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3790F"/>
    <w:multiLevelType w:val="hybridMultilevel"/>
    <w:tmpl w:val="42DC5DBE"/>
    <w:lvl w:ilvl="0" w:tplc="331409C6">
      <w:start w:val="1"/>
      <w:numFmt w:val="lowerRoman"/>
      <w:lvlText w:val="%1)"/>
      <w:lvlJc w:val="left"/>
      <w:pPr>
        <w:ind w:left="1995" w:hanging="360"/>
      </w:pPr>
      <w:rPr>
        <w:rFonts w:hint="default"/>
      </w:rPr>
    </w:lvl>
    <w:lvl w:ilvl="1" w:tplc="08090003">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8" w15:restartNumberingAfterBreak="0">
    <w:nsid w:val="6F69559C"/>
    <w:multiLevelType w:val="hybridMultilevel"/>
    <w:tmpl w:val="119277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4"/>
  </w:num>
  <w:num w:numId="4">
    <w:abstractNumId w:val="14"/>
  </w:num>
  <w:num w:numId="5">
    <w:abstractNumId w:val="1"/>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3"/>
  </w:num>
  <w:num w:numId="13">
    <w:abstractNumId w:val="22"/>
  </w:num>
  <w:num w:numId="14">
    <w:abstractNumId w:val="19"/>
  </w:num>
  <w:num w:numId="15">
    <w:abstractNumId w:val="13"/>
  </w:num>
  <w:num w:numId="16">
    <w:abstractNumId w:val="12"/>
  </w:num>
  <w:num w:numId="17">
    <w:abstractNumId w:val="3"/>
  </w:num>
  <w:num w:numId="18">
    <w:abstractNumId w:val="0"/>
  </w:num>
  <w:num w:numId="19">
    <w:abstractNumId w:val="10"/>
  </w:num>
  <w:num w:numId="20">
    <w:abstractNumId w:val="16"/>
  </w:num>
  <w:num w:numId="21">
    <w:abstractNumId w:val="11"/>
  </w:num>
  <w:num w:numId="22">
    <w:abstractNumId w:val="11"/>
  </w:num>
  <w:num w:numId="23">
    <w:abstractNumId w:val="27"/>
  </w:num>
  <w:num w:numId="24">
    <w:abstractNumId w:val="15"/>
  </w:num>
  <w:num w:numId="25">
    <w:abstractNumId w:val="6"/>
  </w:num>
  <w:num w:numId="26">
    <w:abstractNumId w:val="2"/>
  </w:num>
  <w:num w:numId="27">
    <w:abstractNumId w:val="24"/>
  </w:num>
  <w:num w:numId="28">
    <w:abstractNumId w:val="17"/>
  </w:num>
  <w:num w:numId="29">
    <w:abstractNumId w:val="2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0679"/>
    <w:rsid w:val="00040EE4"/>
    <w:rsid w:val="00046148"/>
    <w:rsid w:val="00070C29"/>
    <w:rsid w:val="00084988"/>
    <w:rsid w:val="000A0D3F"/>
    <w:rsid w:val="000B6DB0"/>
    <w:rsid w:val="000C3086"/>
    <w:rsid w:val="000C7062"/>
    <w:rsid w:val="000E17A1"/>
    <w:rsid w:val="000E1FAF"/>
    <w:rsid w:val="000F1FDD"/>
    <w:rsid w:val="000F5A71"/>
    <w:rsid w:val="001151CC"/>
    <w:rsid w:val="00115C60"/>
    <w:rsid w:val="001368CE"/>
    <w:rsid w:val="00137582"/>
    <w:rsid w:val="001614A6"/>
    <w:rsid w:val="00165BC7"/>
    <w:rsid w:val="00173195"/>
    <w:rsid w:val="001731A5"/>
    <w:rsid w:val="0017796C"/>
    <w:rsid w:val="00186648"/>
    <w:rsid w:val="001B7696"/>
    <w:rsid w:val="001D2B80"/>
    <w:rsid w:val="001D7B5D"/>
    <w:rsid w:val="001E2C10"/>
    <w:rsid w:val="001E3F6A"/>
    <w:rsid w:val="001E6CFB"/>
    <w:rsid w:val="001F3088"/>
    <w:rsid w:val="00200FC1"/>
    <w:rsid w:val="0020508B"/>
    <w:rsid w:val="002120A1"/>
    <w:rsid w:val="00216726"/>
    <w:rsid w:val="00217193"/>
    <w:rsid w:val="0022618A"/>
    <w:rsid w:val="00230A2A"/>
    <w:rsid w:val="0023418E"/>
    <w:rsid w:val="0023792C"/>
    <w:rsid w:val="002557EC"/>
    <w:rsid w:val="002659ED"/>
    <w:rsid w:val="00287FE1"/>
    <w:rsid w:val="002F3062"/>
    <w:rsid w:val="003125AA"/>
    <w:rsid w:val="00314FE8"/>
    <w:rsid w:val="003213F9"/>
    <w:rsid w:val="003456B3"/>
    <w:rsid w:val="00353A9F"/>
    <w:rsid w:val="00362918"/>
    <w:rsid w:val="003659EE"/>
    <w:rsid w:val="00394D61"/>
    <w:rsid w:val="003B3B62"/>
    <w:rsid w:val="003D16A2"/>
    <w:rsid w:val="003D217C"/>
    <w:rsid w:val="003F5F22"/>
    <w:rsid w:val="004115C6"/>
    <w:rsid w:val="0042136A"/>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7BE6"/>
    <w:rsid w:val="00715012"/>
    <w:rsid w:val="007228F5"/>
    <w:rsid w:val="00743418"/>
    <w:rsid w:val="007465C6"/>
    <w:rsid w:val="00754309"/>
    <w:rsid w:val="0077606C"/>
    <w:rsid w:val="00782695"/>
    <w:rsid w:val="00785997"/>
    <w:rsid w:val="00790298"/>
    <w:rsid w:val="007C7799"/>
    <w:rsid w:val="007D0480"/>
    <w:rsid w:val="007D2D88"/>
    <w:rsid w:val="007E18A8"/>
    <w:rsid w:val="007E2246"/>
    <w:rsid w:val="007F6959"/>
    <w:rsid w:val="008061D3"/>
    <w:rsid w:val="00815FF5"/>
    <w:rsid w:val="008177B2"/>
    <w:rsid w:val="00817F2F"/>
    <w:rsid w:val="00834151"/>
    <w:rsid w:val="00845787"/>
    <w:rsid w:val="00863413"/>
    <w:rsid w:val="008864D4"/>
    <w:rsid w:val="00886C91"/>
    <w:rsid w:val="008B649F"/>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7161"/>
    <w:rsid w:val="009C0E99"/>
    <w:rsid w:val="009C150C"/>
    <w:rsid w:val="009C2757"/>
    <w:rsid w:val="009C3715"/>
    <w:rsid w:val="009C73E4"/>
    <w:rsid w:val="009D35CD"/>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28EE"/>
    <w:rsid w:val="00B3765A"/>
    <w:rsid w:val="00B3780C"/>
    <w:rsid w:val="00B45875"/>
    <w:rsid w:val="00B50B6A"/>
    <w:rsid w:val="00B62C48"/>
    <w:rsid w:val="00B82CC9"/>
    <w:rsid w:val="00B918FF"/>
    <w:rsid w:val="00BA0C7B"/>
    <w:rsid w:val="00BA1BCB"/>
    <w:rsid w:val="00BA3130"/>
    <w:rsid w:val="00BD762E"/>
    <w:rsid w:val="00BE0AF6"/>
    <w:rsid w:val="00BE54C1"/>
    <w:rsid w:val="00BE63F4"/>
    <w:rsid w:val="00BF483E"/>
    <w:rsid w:val="00C24B06"/>
    <w:rsid w:val="00C25C7C"/>
    <w:rsid w:val="00C30CD5"/>
    <w:rsid w:val="00C36357"/>
    <w:rsid w:val="00C4535B"/>
    <w:rsid w:val="00C51B00"/>
    <w:rsid w:val="00C54071"/>
    <w:rsid w:val="00C761B2"/>
    <w:rsid w:val="00C77FCE"/>
    <w:rsid w:val="00C839E2"/>
    <w:rsid w:val="00C86B50"/>
    <w:rsid w:val="00CA6629"/>
    <w:rsid w:val="00CC2879"/>
    <w:rsid w:val="00CE186A"/>
    <w:rsid w:val="00D0359E"/>
    <w:rsid w:val="00D151A4"/>
    <w:rsid w:val="00D157CC"/>
    <w:rsid w:val="00D25915"/>
    <w:rsid w:val="00D32419"/>
    <w:rsid w:val="00D440A9"/>
    <w:rsid w:val="00D63DC6"/>
    <w:rsid w:val="00D720CC"/>
    <w:rsid w:val="00D8718F"/>
    <w:rsid w:val="00D94B67"/>
    <w:rsid w:val="00DA7401"/>
    <w:rsid w:val="00DE17BA"/>
    <w:rsid w:val="00DE1999"/>
    <w:rsid w:val="00DE41CE"/>
    <w:rsid w:val="00DE46D4"/>
    <w:rsid w:val="00DF49C8"/>
    <w:rsid w:val="00E017D3"/>
    <w:rsid w:val="00E05D1C"/>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1232"/>
    <w:rsid w:val="00F56695"/>
    <w:rsid w:val="00F61903"/>
    <w:rsid w:val="00F634FB"/>
    <w:rsid w:val="00F65F96"/>
    <w:rsid w:val="00F702EE"/>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1368CE"/>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40637D-6CA0-45AA-BA26-618A2016C9C9}">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8</Pages>
  <Words>2272</Words>
  <Characters>12957</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15199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2021-07-13T10:28:00Z</dcterms:created>
  <dcterms:modified xsi:type="dcterms:W3CDTF">2021-07-13T10:28:00Z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