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5B0F9E57" w14:textId="77777777" w:rsidTr="00761DF4">
        <w:trPr>
          <w:trHeight w:val="1691"/>
        </w:trPr>
        <w:tc>
          <w:tcPr>
            <w:tcW w:w="10485" w:type="dxa"/>
            <w:gridSpan w:val="4"/>
            <w:tcBorders>
              <w:top w:val="nil"/>
              <w:left w:val="nil"/>
              <w:right w:val="nil"/>
            </w:tcBorders>
          </w:tcPr>
          <w:p w14:paraId="0EBF6596"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1BAD8632" wp14:editId="6B01DB24">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5FA8D8F9" w14:textId="77777777" w:rsidR="0007688D" w:rsidRDefault="0007688D" w:rsidP="0007688D">
            <w:r>
              <w:rPr>
                <w:rFonts w:ascii="Arial" w:hAnsi="Arial" w:cs="Arial"/>
                <w:sz w:val="40"/>
                <w:szCs w:val="40"/>
              </w:rPr>
              <w:t>Section 1</w:t>
            </w:r>
          </w:p>
          <w:p w14:paraId="6B98AC1C" w14:textId="77777777" w:rsidR="0007688D" w:rsidRDefault="0007688D" w:rsidP="0007688D">
            <w:pPr>
              <w:jc w:val="right"/>
            </w:pPr>
          </w:p>
        </w:tc>
      </w:tr>
      <w:tr w:rsidR="0007688D" w14:paraId="170D0962" w14:textId="77777777" w:rsidTr="002A023E">
        <w:trPr>
          <w:trHeight w:val="709"/>
        </w:trPr>
        <w:tc>
          <w:tcPr>
            <w:tcW w:w="1843" w:type="dxa"/>
            <w:shd w:val="clear" w:color="auto" w:fill="BFBFBF" w:themeFill="background1" w:themeFillShade="BF"/>
            <w:vAlign w:val="center"/>
          </w:tcPr>
          <w:p w14:paraId="013A464D"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33A7B185" w14:textId="77777777" w:rsidR="0007688D" w:rsidRPr="009A4FDD" w:rsidRDefault="00DD3906" w:rsidP="0007688D">
            <w:pPr>
              <w:rPr>
                <w:rFonts w:ascii="Arial" w:hAnsi="Arial" w:cs="Arial"/>
              </w:rPr>
            </w:pPr>
            <w:r>
              <w:rPr>
                <w:rFonts w:ascii="Arial" w:hAnsi="Arial" w:cs="Arial"/>
              </w:rPr>
              <w:t>Electoral Services Manager</w:t>
            </w:r>
          </w:p>
        </w:tc>
        <w:tc>
          <w:tcPr>
            <w:tcW w:w="1679" w:type="dxa"/>
            <w:shd w:val="clear" w:color="auto" w:fill="BFBFBF" w:themeFill="background1" w:themeFillShade="BF"/>
            <w:vAlign w:val="center"/>
          </w:tcPr>
          <w:p w14:paraId="435201FA"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3C229DD0" w14:textId="77777777" w:rsidR="0007688D" w:rsidRPr="009A4FDD" w:rsidRDefault="00DD3906" w:rsidP="0007688D">
            <w:pPr>
              <w:rPr>
                <w:rFonts w:ascii="Arial" w:hAnsi="Arial" w:cs="Arial"/>
              </w:rPr>
            </w:pPr>
            <w:r>
              <w:rPr>
                <w:rFonts w:ascii="Arial" w:hAnsi="Arial" w:cs="Arial"/>
              </w:rPr>
              <w:t>Resources</w:t>
            </w:r>
          </w:p>
        </w:tc>
      </w:tr>
      <w:tr w:rsidR="0007688D" w14:paraId="49474B80" w14:textId="77777777" w:rsidTr="002A023E">
        <w:trPr>
          <w:trHeight w:val="709"/>
        </w:trPr>
        <w:tc>
          <w:tcPr>
            <w:tcW w:w="1843" w:type="dxa"/>
            <w:shd w:val="clear" w:color="auto" w:fill="BFBFBF" w:themeFill="background1" w:themeFillShade="BF"/>
            <w:vAlign w:val="center"/>
          </w:tcPr>
          <w:p w14:paraId="6A2DBFC1"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78223011" w14:textId="77777777" w:rsidR="0007688D" w:rsidRPr="009A4FDD" w:rsidRDefault="00D23D55" w:rsidP="0007688D">
            <w:pPr>
              <w:rPr>
                <w:rFonts w:ascii="Arial" w:hAnsi="Arial" w:cs="Arial"/>
              </w:rPr>
            </w:pPr>
            <w:r>
              <w:rPr>
                <w:rFonts w:ascii="Arial" w:hAnsi="Arial" w:cs="Arial"/>
              </w:rPr>
              <w:t>Grade 14</w:t>
            </w:r>
          </w:p>
        </w:tc>
        <w:tc>
          <w:tcPr>
            <w:tcW w:w="1679" w:type="dxa"/>
            <w:shd w:val="clear" w:color="auto" w:fill="BFBFBF" w:themeFill="background1" w:themeFillShade="BF"/>
            <w:vAlign w:val="center"/>
          </w:tcPr>
          <w:p w14:paraId="529AFE07"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1F102424" w14:textId="77777777" w:rsidR="0007688D" w:rsidRPr="009A4FDD" w:rsidRDefault="00DD3906" w:rsidP="0007688D">
            <w:pPr>
              <w:rPr>
                <w:rFonts w:ascii="Arial" w:hAnsi="Arial" w:cs="Arial"/>
              </w:rPr>
            </w:pPr>
            <w:r>
              <w:rPr>
                <w:rFonts w:ascii="Arial" w:hAnsi="Arial" w:cs="Arial"/>
              </w:rPr>
              <w:t>Legal &amp; Democratic Services</w:t>
            </w:r>
          </w:p>
        </w:tc>
      </w:tr>
      <w:tr w:rsidR="009A4FDD" w14:paraId="12876E1F" w14:textId="77777777" w:rsidTr="002A023E">
        <w:trPr>
          <w:trHeight w:val="709"/>
        </w:trPr>
        <w:tc>
          <w:tcPr>
            <w:tcW w:w="1843" w:type="dxa"/>
            <w:shd w:val="clear" w:color="auto" w:fill="BFBFBF" w:themeFill="background1" w:themeFillShade="BF"/>
            <w:vAlign w:val="center"/>
          </w:tcPr>
          <w:p w14:paraId="4F283FD8"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56263335" w14:textId="77777777" w:rsidR="009A4FDD" w:rsidRPr="00D90B5D" w:rsidRDefault="00DD3906" w:rsidP="009A4FDD">
            <w:pPr>
              <w:rPr>
                <w:rFonts w:ascii="Arial" w:hAnsi="Arial" w:cs="Arial"/>
              </w:rPr>
            </w:pPr>
            <w:r>
              <w:rPr>
                <w:rFonts w:ascii="Arial" w:hAnsi="Arial" w:cs="Arial"/>
              </w:rPr>
              <w:t>Head of Legal &amp; Democratic Services</w:t>
            </w:r>
          </w:p>
        </w:tc>
      </w:tr>
      <w:tr w:rsidR="00D16918" w14:paraId="0639C1FB" w14:textId="77777777" w:rsidTr="00A26544">
        <w:trPr>
          <w:trHeight w:val="709"/>
        </w:trPr>
        <w:tc>
          <w:tcPr>
            <w:tcW w:w="1843" w:type="dxa"/>
            <w:shd w:val="clear" w:color="auto" w:fill="BFBFBF" w:themeFill="background1" w:themeFillShade="BF"/>
          </w:tcPr>
          <w:p w14:paraId="70984405" w14:textId="77777777" w:rsidR="00D16918" w:rsidRPr="00D16918" w:rsidRDefault="00D16918" w:rsidP="00D16918">
            <w:pPr>
              <w:rPr>
                <w:rFonts w:ascii="Arial" w:hAnsi="Arial" w:cs="Arial"/>
                <w:b/>
              </w:rPr>
            </w:pPr>
            <w:r w:rsidRPr="00D16918">
              <w:rPr>
                <w:rFonts w:ascii="Arial" w:hAnsi="Arial" w:cs="Arial"/>
                <w:b/>
              </w:rPr>
              <w:t>Politically Restricted</w:t>
            </w:r>
          </w:p>
        </w:tc>
        <w:tc>
          <w:tcPr>
            <w:tcW w:w="8642" w:type="dxa"/>
            <w:gridSpan w:val="3"/>
          </w:tcPr>
          <w:p w14:paraId="1C766CD4" w14:textId="77777777" w:rsidR="00D16918" w:rsidRPr="00D16918" w:rsidRDefault="00D16918" w:rsidP="00D16918">
            <w:pPr>
              <w:rPr>
                <w:rFonts w:ascii="Arial" w:hAnsi="Arial" w:cs="Arial"/>
              </w:rPr>
            </w:pPr>
            <w:r w:rsidRPr="00D16918">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07688D" w14:paraId="0328EA94" w14:textId="77777777" w:rsidTr="009A4FDD">
        <w:trPr>
          <w:trHeight w:val="2268"/>
        </w:trPr>
        <w:tc>
          <w:tcPr>
            <w:tcW w:w="10485" w:type="dxa"/>
            <w:gridSpan w:val="4"/>
          </w:tcPr>
          <w:p w14:paraId="70D3802A"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7CE8BE1F" w14:textId="64D771E2"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post holder is responsible for providing leadership, and will set the priorities, </w:t>
            </w:r>
            <w:proofErr w:type="gramStart"/>
            <w:r w:rsidRPr="00D90B5D">
              <w:rPr>
                <w:rFonts w:ascii="Arial" w:hAnsi="Arial" w:cs="Arial"/>
              </w:rPr>
              <w:t>policy</w:t>
            </w:r>
            <w:proofErr w:type="gramEnd"/>
            <w:r w:rsidRPr="00D90B5D">
              <w:rPr>
                <w:rFonts w:ascii="Arial" w:hAnsi="Arial" w:cs="Arial"/>
              </w:rPr>
              <w:t xml:space="preserve"> and direction of the team (</w:t>
            </w:r>
            <w:r w:rsidR="00DD3906" w:rsidRPr="00DD3906">
              <w:rPr>
                <w:rFonts w:ascii="Arial" w:hAnsi="Arial" w:cs="Arial"/>
              </w:rPr>
              <w:t>Election Services</w:t>
            </w:r>
            <w:r w:rsidRPr="00D90B5D">
              <w:rPr>
                <w:rFonts w:ascii="Arial" w:hAnsi="Arial" w:cs="Arial"/>
              </w:rPr>
              <w:t xml:space="preserve">) aligned to Corporate and Service priorities. They will </w:t>
            </w:r>
            <w:r w:rsidR="00D24548">
              <w:rPr>
                <w:rFonts w:ascii="Arial" w:hAnsi="Arial" w:cs="Arial"/>
              </w:rPr>
              <w:t xml:space="preserve">report to the Democratic Services Manager </w:t>
            </w:r>
            <w:r w:rsidRPr="00D90B5D">
              <w:rPr>
                <w:rFonts w:ascii="Arial" w:hAnsi="Arial" w:cs="Arial"/>
              </w:rPr>
              <w:t xml:space="preserve">and will lead by example in terms of embedding the vision, </w:t>
            </w:r>
            <w:proofErr w:type="gramStart"/>
            <w:r w:rsidRPr="00D90B5D">
              <w:rPr>
                <w:rFonts w:ascii="Arial" w:hAnsi="Arial" w:cs="Arial"/>
              </w:rPr>
              <w:t>values</w:t>
            </w:r>
            <w:proofErr w:type="gramEnd"/>
            <w:r w:rsidRPr="00D90B5D">
              <w:rPr>
                <w:rFonts w:ascii="Arial" w:hAnsi="Arial" w:cs="Arial"/>
              </w:rPr>
              <w:t xml:space="preserve"> and behaviours of the council. </w:t>
            </w:r>
          </w:p>
          <w:p w14:paraId="07D296A3" w14:textId="77777777" w:rsidR="0007688D" w:rsidRPr="00D90B5D" w:rsidRDefault="0007688D" w:rsidP="009A4FDD">
            <w:pPr>
              <w:autoSpaceDE w:val="0"/>
              <w:autoSpaceDN w:val="0"/>
              <w:adjustRightInd w:val="0"/>
              <w:rPr>
                <w:rFonts w:ascii="Arial" w:hAnsi="Arial" w:cs="Arial"/>
              </w:rPr>
            </w:pPr>
          </w:p>
          <w:p w14:paraId="34E9A9EE" w14:textId="77777777"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1FAA94DB" w14:textId="77777777" w:rsidTr="00DD3906">
        <w:trPr>
          <w:trHeight w:val="7655"/>
        </w:trPr>
        <w:tc>
          <w:tcPr>
            <w:tcW w:w="10485" w:type="dxa"/>
            <w:gridSpan w:val="4"/>
          </w:tcPr>
          <w:p w14:paraId="53BBDE72"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69519B79" w14:textId="77777777" w:rsidR="0007688D" w:rsidRPr="00D90B5D" w:rsidRDefault="0007688D" w:rsidP="00D24548">
            <w:pPr>
              <w:pStyle w:val="ListParagraph"/>
              <w:numPr>
                <w:ilvl w:val="0"/>
                <w:numId w:val="2"/>
              </w:numPr>
              <w:spacing w:before="120" w:after="120"/>
              <w:contextualSpacing w:val="0"/>
              <w:rPr>
                <w:rFonts w:ascii="Arial" w:hAnsi="Arial" w:cs="Arial"/>
              </w:rPr>
            </w:pPr>
            <w:r w:rsidRPr="00D90B5D">
              <w:rPr>
                <w:rFonts w:ascii="Arial" w:hAnsi="Arial" w:cs="Arial"/>
              </w:rPr>
              <w:t xml:space="preserve">To drive organisational change and the transformational agenda by championing the organisational benefits and seeking to embed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7AC65C8D" w14:textId="77777777" w:rsidR="009A4FDD" w:rsidRDefault="0007688D" w:rsidP="00D24548">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26D98722"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0221EB36" w14:textId="77777777" w:rsidR="00D90B5D" w:rsidRPr="00D90B5D" w:rsidRDefault="00D90B5D" w:rsidP="00D24548">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in a positive working </w:t>
            </w:r>
            <w:proofErr w:type="gramStart"/>
            <w:r w:rsidRPr="00D90B5D">
              <w:rPr>
                <w:rFonts w:ascii="Arial" w:hAnsi="Arial" w:cs="Arial"/>
              </w:rPr>
              <w:t>environment;</w:t>
            </w:r>
            <w:proofErr w:type="gramEnd"/>
          </w:p>
          <w:p w14:paraId="6A493182" w14:textId="77777777" w:rsidR="00D90B5D" w:rsidRPr="00D90B5D" w:rsidRDefault="00D90B5D" w:rsidP="00D24548">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taking the lead role and advising on specialist areas of </w:t>
            </w:r>
            <w:proofErr w:type="gramStart"/>
            <w:r w:rsidRPr="00D90B5D">
              <w:rPr>
                <w:rFonts w:ascii="Arial" w:hAnsi="Arial" w:cs="Arial"/>
              </w:rPr>
              <w:t>responsibility;</w:t>
            </w:r>
            <w:proofErr w:type="gramEnd"/>
          </w:p>
          <w:p w14:paraId="14FD3F98" w14:textId="77777777" w:rsidR="00D90B5D" w:rsidRDefault="00D90B5D" w:rsidP="00D24548">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527D5BE5"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2E3B4A71" w14:textId="77777777" w:rsidR="00D90B5D" w:rsidRDefault="00D90B5D" w:rsidP="00D24548">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33A39A42" w14:textId="77777777" w:rsidR="00D90B5D" w:rsidRDefault="00D90B5D" w:rsidP="00D24548">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26619B36" w14:textId="77777777" w:rsidR="001E4736" w:rsidRDefault="00D90B5D" w:rsidP="00D24548">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14:paraId="098C3A2A" w14:textId="3838D739" w:rsidR="00DD3906" w:rsidRPr="00D24548" w:rsidRDefault="00DD3906" w:rsidP="00D24548">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14:paraId="77A583AA" w14:textId="77777777" w:rsidR="00D24548" w:rsidRPr="002A023E" w:rsidRDefault="00D24548" w:rsidP="00D24548">
            <w:pPr>
              <w:pStyle w:val="ListParagraph"/>
              <w:spacing w:before="120" w:after="120"/>
              <w:ind w:left="360"/>
              <w:rPr>
                <w:rFonts w:ascii="Arial" w:hAnsi="Arial" w:cs="Arial"/>
                <w:b/>
              </w:rPr>
            </w:pPr>
          </w:p>
          <w:p w14:paraId="63A0250A" w14:textId="77777777" w:rsidR="00DD3906" w:rsidRPr="001E4736" w:rsidRDefault="00DD3906" w:rsidP="00DD3906">
            <w:pPr>
              <w:spacing w:before="120" w:after="120"/>
              <w:rPr>
                <w:rFonts w:ascii="Arial" w:hAnsi="Arial" w:cs="Arial"/>
                <w:b/>
              </w:rPr>
            </w:pPr>
            <w:r w:rsidRPr="001E4736">
              <w:rPr>
                <w:rFonts w:ascii="Arial" w:hAnsi="Arial" w:cs="Arial"/>
                <w:b/>
              </w:rPr>
              <w:lastRenderedPageBreak/>
              <w:t>Key Result Area – Generic Management</w:t>
            </w:r>
          </w:p>
          <w:p w14:paraId="5E67D498" w14:textId="77777777" w:rsidR="00DD3906" w:rsidRDefault="00DD3906" w:rsidP="00D24548">
            <w:pPr>
              <w:pStyle w:val="ListParagraph"/>
              <w:numPr>
                <w:ilvl w:val="0"/>
                <w:numId w:val="2"/>
              </w:numPr>
              <w:spacing w:before="120" w:after="120"/>
              <w:contextualSpacing w:val="0"/>
              <w:rPr>
                <w:rFonts w:ascii="Arial" w:hAnsi="Arial" w:cs="Arial"/>
              </w:rPr>
            </w:pPr>
            <w:r>
              <w:rPr>
                <w:rFonts w:ascii="Arial" w:hAnsi="Arial" w:cs="Arial"/>
              </w:rPr>
              <w:t xml:space="preserve">Manage employees, relevant </w:t>
            </w:r>
            <w:proofErr w:type="gramStart"/>
            <w:r>
              <w:rPr>
                <w:rFonts w:ascii="Arial" w:hAnsi="Arial" w:cs="Arial"/>
              </w:rPr>
              <w:t>budgets</w:t>
            </w:r>
            <w:proofErr w:type="gramEnd"/>
            <w:r>
              <w:rPr>
                <w:rFonts w:ascii="Arial" w:hAnsi="Arial" w:cs="Arial"/>
              </w:rPr>
              <w:t xml:space="preserve"> and team/individual performance in accordance with council procedures and objectives</w:t>
            </w:r>
          </w:p>
          <w:p w14:paraId="3630CCA8" w14:textId="77777777" w:rsidR="00D24548" w:rsidRDefault="00D24548" w:rsidP="00D24548">
            <w:pPr>
              <w:pStyle w:val="ListParagraph"/>
              <w:numPr>
                <w:ilvl w:val="0"/>
                <w:numId w:val="2"/>
              </w:numPr>
              <w:spacing w:before="120" w:after="120"/>
              <w:contextualSpacing w:val="0"/>
              <w:rPr>
                <w:rFonts w:ascii="Arial" w:hAnsi="Arial" w:cs="Arial"/>
              </w:rPr>
            </w:pPr>
            <w:r>
              <w:rPr>
                <w:rFonts w:ascii="Arial" w:hAnsi="Arial" w:cs="Arial"/>
              </w:rPr>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09281430" w14:textId="77777777" w:rsidR="00D24548" w:rsidRPr="001E4736" w:rsidRDefault="00D24548" w:rsidP="00D24548">
            <w:pPr>
              <w:pStyle w:val="ListParagraph"/>
              <w:numPr>
                <w:ilvl w:val="0"/>
                <w:numId w:val="2"/>
              </w:numPr>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619B3008" w14:textId="77777777" w:rsidR="00D24548" w:rsidRPr="001E4736" w:rsidRDefault="00D24548" w:rsidP="00D24548">
            <w:pPr>
              <w:pStyle w:val="ListParagraph"/>
              <w:numPr>
                <w:ilvl w:val="0"/>
                <w:numId w:val="2"/>
              </w:numPr>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198E7E65" w14:textId="77777777" w:rsidR="00D24548" w:rsidRDefault="00D24548" w:rsidP="00D24548">
            <w:pPr>
              <w:pStyle w:val="ListParagraph"/>
              <w:numPr>
                <w:ilvl w:val="0"/>
                <w:numId w:val="2"/>
              </w:numPr>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0A93BA38" w14:textId="77777777" w:rsidR="00D24548" w:rsidRDefault="00D24548" w:rsidP="00D24548">
            <w:pPr>
              <w:pStyle w:val="ListParagraph"/>
              <w:numPr>
                <w:ilvl w:val="0"/>
                <w:numId w:val="2"/>
              </w:numPr>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605B9B6E" w14:textId="77777777" w:rsidR="00D24548" w:rsidRDefault="00D24548" w:rsidP="00D24548">
            <w:pPr>
              <w:pStyle w:val="ListParagraph"/>
              <w:numPr>
                <w:ilvl w:val="0"/>
                <w:numId w:val="2"/>
              </w:numPr>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3566C7CB" w14:textId="77777777" w:rsidR="00D24548" w:rsidRDefault="00D24548" w:rsidP="00D24548">
            <w:pPr>
              <w:pStyle w:val="ListParagraph"/>
              <w:numPr>
                <w:ilvl w:val="0"/>
                <w:numId w:val="2"/>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11B9CAED" w14:textId="1B3BC100" w:rsidR="00D24548" w:rsidRPr="00D24548" w:rsidRDefault="00D24548" w:rsidP="00D24548">
            <w:pPr>
              <w:spacing w:before="120" w:after="120"/>
              <w:rPr>
                <w:rFonts w:ascii="Arial" w:hAnsi="Arial" w:cs="Arial"/>
              </w:rPr>
            </w:pPr>
          </w:p>
        </w:tc>
      </w:tr>
      <w:tr w:rsidR="001E4736" w14:paraId="59BD4AAA" w14:textId="77777777" w:rsidTr="009A4FDD">
        <w:trPr>
          <w:trHeight w:val="15299"/>
        </w:trPr>
        <w:tc>
          <w:tcPr>
            <w:tcW w:w="10485" w:type="dxa"/>
            <w:gridSpan w:val="4"/>
          </w:tcPr>
          <w:p w14:paraId="139531CC" w14:textId="77777777" w:rsidR="001D13C8" w:rsidRPr="001D13C8" w:rsidRDefault="001D13C8" w:rsidP="001D13C8">
            <w:pPr>
              <w:spacing w:before="120" w:after="120"/>
              <w:rPr>
                <w:rFonts w:ascii="Arial" w:hAnsi="Arial" w:cs="Arial"/>
                <w:b/>
              </w:rPr>
            </w:pPr>
            <w:r w:rsidRPr="001D13C8">
              <w:rPr>
                <w:rFonts w:ascii="Arial" w:hAnsi="Arial" w:cs="Arial"/>
                <w:b/>
              </w:rPr>
              <w:lastRenderedPageBreak/>
              <w:t>Key Result Area – Job Specific</w:t>
            </w:r>
          </w:p>
          <w:p w14:paraId="5DA40AB7" w14:textId="253F581B" w:rsidR="001D13C8" w:rsidRDefault="00DD3906" w:rsidP="001D13C8">
            <w:pPr>
              <w:pStyle w:val="ListParagraph"/>
              <w:numPr>
                <w:ilvl w:val="0"/>
                <w:numId w:val="4"/>
              </w:numPr>
              <w:spacing w:before="120" w:after="120"/>
              <w:contextualSpacing w:val="0"/>
              <w:rPr>
                <w:rFonts w:ascii="Arial" w:hAnsi="Arial" w:cs="Arial"/>
              </w:rPr>
            </w:pPr>
            <w:r>
              <w:rPr>
                <w:rFonts w:ascii="Arial" w:hAnsi="Arial" w:cs="Arial"/>
              </w:rPr>
              <w:t>Organise a centrally located team to deliver all services associated with an</w:t>
            </w:r>
            <w:r w:rsidR="00F967F6">
              <w:rPr>
                <w:rFonts w:ascii="Arial" w:hAnsi="Arial" w:cs="Arial"/>
              </w:rPr>
              <w:t>d</w:t>
            </w:r>
            <w:r>
              <w:rPr>
                <w:rFonts w:ascii="Arial" w:hAnsi="Arial" w:cs="Arial"/>
              </w:rPr>
              <w:t xml:space="preserve"> linked to electoral registration and elections on one software </w:t>
            </w:r>
            <w:proofErr w:type="gramStart"/>
            <w:r>
              <w:rPr>
                <w:rFonts w:ascii="Arial" w:hAnsi="Arial" w:cs="Arial"/>
              </w:rPr>
              <w:t>platform</w:t>
            </w:r>
            <w:r w:rsidR="005E040C">
              <w:rPr>
                <w:rFonts w:ascii="Arial" w:hAnsi="Arial" w:cs="Arial"/>
              </w:rPr>
              <w:t>;</w:t>
            </w:r>
            <w:proofErr w:type="gramEnd"/>
            <w:r w:rsidR="005E040C">
              <w:rPr>
                <w:rFonts w:ascii="Arial" w:hAnsi="Arial" w:cs="Arial"/>
              </w:rPr>
              <w:t xml:space="preserve"> </w:t>
            </w:r>
          </w:p>
          <w:p w14:paraId="793C03BD" w14:textId="430B81C0" w:rsidR="00E03C79" w:rsidRDefault="00E03C79" w:rsidP="001D13C8">
            <w:pPr>
              <w:pStyle w:val="ListParagraph"/>
              <w:numPr>
                <w:ilvl w:val="0"/>
                <w:numId w:val="4"/>
              </w:numPr>
              <w:spacing w:before="120" w:after="120"/>
              <w:contextualSpacing w:val="0"/>
              <w:rPr>
                <w:rFonts w:ascii="Arial" w:hAnsi="Arial" w:cs="Arial"/>
              </w:rPr>
            </w:pPr>
            <w:r>
              <w:rPr>
                <w:rFonts w:ascii="Arial" w:hAnsi="Arial" w:cs="Arial"/>
              </w:rPr>
              <w:t xml:space="preserve">To act as a Deputy to the Returning Officer when required for </w:t>
            </w:r>
            <w:proofErr w:type="gramStart"/>
            <w:r>
              <w:rPr>
                <w:rFonts w:ascii="Arial" w:hAnsi="Arial" w:cs="Arial"/>
              </w:rPr>
              <w:t>elections;</w:t>
            </w:r>
            <w:proofErr w:type="gramEnd"/>
          </w:p>
          <w:p w14:paraId="0E687422" w14:textId="77777777" w:rsidR="00E03C79" w:rsidRDefault="00E03C79" w:rsidP="001D13C8">
            <w:pPr>
              <w:pStyle w:val="ListParagraph"/>
              <w:numPr>
                <w:ilvl w:val="0"/>
                <w:numId w:val="4"/>
              </w:numPr>
              <w:spacing w:before="120" w:after="120"/>
              <w:contextualSpacing w:val="0"/>
              <w:rPr>
                <w:rFonts w:ascii="Arial" w:hAnsi="Arial" w:cs="Arial"/>
              </w:rPr>
            </w:pPr>
            <w:r>
              <w:rPr>
                <w:rFonts w:ascii="Arial" w:hAnsi="Arial" w:cs="Arial"/>
              </w:rPr>
              <w:t>To represent the Electoral Registration Officer/Returning Officer as necessary at meetings/</w:t>
            </w:r>
            <w:proofErr w:type="gramStart"/>
            <w:r>
              <w:rPr>
                <w:rFonts w:ascii="Arial" w:hAnsi="Arial" w:cs="Arial"/>
              </w:rPr>
              <w:t>seminars;</w:t>
            </w:r>
            <w:proofErr w:type="gramEnd"/>
          </w:p>
          <w:p w14:paraId="583BE33D" w14:textId="77777777" w:rsidR="00DD3906" w:rsidRDefault="00DD3906" w:rsidP="001D13C8">
            <w:pPr>
              <w:pStyle w:val="ListParagraph"/>
              <w:numPr>
                <w:ilvl w:val="0"/>
                <w:numId w:val="4"/>
              </w:numPr>
              <w:spacing w:before="120" w:after="120"/>
              <w:contextualSpacing w:val="0"/>
              <w:rPr>
                <w:rFonts w:ascii="Arial" w:hAnsi="Arial" w:cs="Arial"/>
              </w:rPr>
            </w:pPr>
            <w:r>
              <w:rPr>
                <w:rFonts w:ascii="Arial" w:hAnsi="Arial" w:cs="Arial"/>
              </w:rPr>
              <w:t xml:space="preserve">Be proactive in partnership working with neighbouring authorities and to cement close working relationships with the Tees Valley Electoral </w:t>
            </w:r>
            <w:proofErr w:type="gramStart"/>
            <w:r>
              <w:rPr>
                <w:rFonts w:ascii="Arial" w:hAnsi="Arial" w:cs="Arial"/>
              </w:rPr>
              <w:t>Group;</w:t>
            </w:r>
            <w:proofErr w:type="gramEnd"/>
          </w:p>
          <w:p w14:paraId="0C897F6B" w14:textId="77777777" w:rsidR="00DD3906" w:rsidRDefault="00E03C79" w:rsidP="001D13C8">
            <w:pPr>
              <w:pStyle w:val="ListParagraph"/>
              <w:numPr>
                <w:ilvl w:val="0"/>
                <w:numId w:val="4"/>
              </w:numPr>
              <w:spacing w:before="120" w:after="120"/>
              <w:contextualSpacing w:val="0"/>
              <w:rPr>
                <w:rFonts w:ascii="Arial" w:hAnsi="Arial" w:cs="Arial"/>
              </w:rPr>
            </w:pPr>
            <w:r>
              <w:rPr>
                <w:rFonts w:ascii="Arial" w:hAnsi="Arial" w:cs="Arial"/>
              </w:rPr>
              <w:t>To p</w:t>
            </w:r>
            <w:r w:rsidR="00DD3906">
              <w:rPr>
                <w:rFonts w:ascii="Arial" w:hAnsi="Arial" w:cs="Arial"/>
              </w:rPr>
              <w:t xml:space="preserve">articipate as fully as possible in activities of the Association of Electoral Administrators to foster greater networking arrangements both regionally and nationally in order to advance the service </w:t>
            </w:r>
            <w:proofErr w:type="gramStart"/>
            <w:r w:rsidR="00DD3906">
              <w:rPr>
                <w:rFonts w:ascii="Arial" w:hAnsi="Arial" w:cs="Arial"/>
              </w:rPr>
              <w:t>provision;</w:t>
            </w:r>
            <w:proofErr w:type="gramEnd"/>
          </w:p>
          <w:p w14:paraId="11E9E0B3" w14:textId="77777777" w:rsidR="00E03C79" w:rsidRDefault="00E03C79" w:rsidP="001D13C8">
            <w:pPr>
              <w:pStyle w:val="ListParagraph"/>
              <w:numPr>
                <w:ilvl w:val="0"/>
                <w:numId w:val="4"/>
              </w:numPr>
              <w:spacing w:before="120" w:after="120"/>
              <w:contextualSpacing w:val="0"/>
              <w:rPr>
                <w:rFonts w:ascii="Arial" w:hAnsi="Arial" w:cs="Arial"/>
              </w:rPr>
            </w:pPr>
            <w:r>
              <w:rPr>
                <w:rFonts w:ascii="Arial" w:hAnsi="Arial" w:cs="Arial"/>
              </w:rPr>
              <w:t xml:space="preserve">To manage the budget for Electoral </w:t>
            </w:r>
            <w:proofErr w:type="gramStart"/>
            <w:r>
              <w:rPr>
                <w:rFonts w:ascii="Arial" w:hAnsi="Arial" w:cs="Arial"/>
              </w:rPr>
              <w:t>Services;</w:t>
            </w:r>
            <w:proofErr w:type="gramEnd"/>
          </w:p>
          <w:p w14:paraId="545DE8AD" w14:textId="77777777" w:rsidR="00DD3906" w:rsidRDefault="00201D92" w:rsidP="001D13C8">
            <w:pPr>
              <w:pStyle w:val="ListParagraph"/>
              <w:numPr>
                <w:ilvl w:val="0"/>
                <w:numId w:val="4"/>
              </w:numPr>
              <w:spacing w:before="120" w:after="120"/>
              <w:contextualSpacing w:val="0"/>
              <w:rPr>
                <w:rFonts w:ascii="Arial" w:hAnsi="Arial" w:cs="Arial"/>
              </w:rPr>
            </w:pPr>
            <w:r>
              <w:rPr>
                <w:rFonts w:ascii="Arial" w:hAnsi="Arial" w:cs="Arial"/>
              </w:rPr>
              <w:t xml:space="preserve">Achieve Beacon status for the </w:t>
            </w:r>
            <w:proofErr w:type="gramStart"/>
            <w:r>
              <w:rPr>
                <w:rFonts w:ascii="Arial" w:hAnsi="Arial" w:cs="Arial"/>
              </w:rPr>
              <w:t>service;</w:t>
            </w:r>
            <w:proofErr w:type="gramEnd"/>
          </w:p>
          <w:p w14:paraId="31B410C9" w14:textId="7777777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 xml:space="preserve">Manage the process for the production of the Electoral Register in December each </w:t>
            </w:r>
            <w:proofErr w:type="gramStart"/>
            <w:r>
              <w:rPr>
                <w:rFonts w:ascii="Arial" w:hAnsi="Arial" w:cs="Arial"/>
              </w:rPr>
              <w:t>year;</w:t>
            </w:r>
            <w:proofErr w:type="gramEnd"/>
          </w:p>
          <w:p w14:paraId="63F4C3FD" w14:textId="7777777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Manage the rolling registration proc</w:t>
            </w:r>
            <w:r w:rsidR="00E03C79">
              <w:rPr>
                <w:rFonts w:ascii="Arial" w:hAnsi="Arial" w:cs="Arial"/>
              </w:rPr>
              <w:t xml:space="preserve">esses </w:t>
            </w:r>
            <w:r>
              <w:rPr>
                <w:rFonts w:ascii="Arial" w:hAnsi="Arial" w:cs="Arial"/>
              </w:rPr>
              <w:t xml:space="preserve">on a daily </w:t>
            </w:r>
            <w:proofErr w:type="gramStart"/>
            <w:r>
              <w:rPr>
                <w:rFonts w:ascii="Arial" w:hAnsi="Arial" w:cs="Arial"/>
              </w:rPr>
              <w:t>basis;</w:t>
            </w:r>
            <w:proofErr w:type="gramEnd"/>
          </w:p>
          <w:p w14:paraId="400F9A00" w14:textId="7777777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 xml:space="preserve">Ensure that the Electoral Register is maintained as accurately as possible by utilising the powers available to the Electoral Registration Officer to inspect and compare with other databases held by the Council and other </w:t>
            </w:r>
            <w:proofErr w:type="gramStart"/>
            <w:r>
              <w:rPr>
                <w:rFonts w:ascii="Arial" w:hAnsi="Arial" w:cs="Arial"/>
              </w:rPr>
              <w:t>organisations;</w:t>
            </w:r>
            <w:proofErr w:type="gramEnd"/>
          </w:p>
          <w:p w14:paraId="3193CAB7" w14:textId="7777777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Be proactive in community engagement aimed at increasing the level</w:t>
            </w:r>
            <w:r w:rsidR="00AE1D78">
              <w:rPr>
                <w:rFonts w:ascii="Arial" w:hAnsi="Arial" w:cs="Arial"/>
              </w:rPr>
              <w:t>s</w:t>
            </w:r>
            <w:r>
              <w:rPr>
                <w:rFonts w:ascii="Arial" w:hAnsi="Arial" w:cs="Arial"/>
              </w:rPr>
              <w:t xml:space="preserve"> of </w:t>
            </w:r>
            <w:r w:rsidR="00AE1D78">
              <w:rPr>
                <w:rFonts w:ascii="Arial" w:hAnsi="Arial" w:cs="Arial"/>
              </w:rPr>
              <w:t xml:space="preserve">voter </w:t>
            </w:r>
            <w:r>
              <w:rPr>
                <w:rFonts w:ascii="Arial" w:hAnsi="Arial" w:cs="Arial"/>
              </w:rPr>
              <w:t>registration</w:t>
            </w:r>
            <w:r w:rsidR="00317884">
              <w:rPr>
                <w:rFonts w:ascii="Arial" w:hAnsi="Arial" w:cs="Arial"/>
              </w:rPr>
              <w:t xml:space="preserve"> and participation in exercising their democratic right to vote at any elections/referenda occurring thereby improving voter turnout</w:t>
            </w:r>
          </w:p>
          <w:p w14:paraId="0DD4AAB8" w14:textId="77777777" w:rsidR="00201D92" w:rsidRDefault="00E03C79" w:rsidP="001D13C8">
            <w:pPr>
              <w:pStyle w:val="ListParagraph"/>
              <w:numPr>
                <w:ilvl w:val="0"/>
                <w:numId w:val="4"/>
              </w:numPr>
              <w:spacing w:before="120" w:after="120"/>
              <w:contextualSpacing w:val="0"/>
              <w:rPr>
                <w:rFonts w:ascii="Arial" w:hAnsi="Arial" w:cs="Arial"/>
              </w:rPr>
            </w:pPr>
            <w:r>
              <w:rPr>
                <w:rFonts w:ascii="Arial" w:hAnsi="Arial" w:cs="Arial"/>
              </w:rPr>
              <w:t>To e</w:t>
            </w:r>
            <w:r w:rsidR="00201D92">
              <w:rPr>
                <w:rFonts w:ascii="Arial" w:hAnsi="Arial" w:cs="Arial"/>
              </w:rPr>
              <w:t>nsure that the performance standards set by the Electoral Commission</w:t>
            </w:r>
            <w:r>
              <w:rPr>
                <w:rFonts w:ascii="Arial" w:hAnsi="Arial" w:cs="Arial"/>
              </w:rPr>
              <w:t xml:space="preserve"> with regard to Electoral Registration and Elections</w:t>
            </w:r>
            <w:r w:rsidR="00201D92">
              <w:rPr>
                <w:rFonts w:ascii="Arial" w:hAnsi="Arial" w:cs="Arial"/>
              </w:rPr>
              <w:t xml:space="preserve"> are achieved as a minimum and best practice is achieved at an early </w:t>
            </w:r>
            <w:proofErr w:type="gramStart"/>
            <w:r w:rsidR="00201D92">
              <w:rPr>
                <w:rFonts w:ascii="Arial" w:hAnsi="Arial" w:cs="Arial"/>
              </w:rPr>
              <w:t>date;</w:t>
            </w:r>
            <w:proofErr w:type="gramEnd"/>
          </w:p>
          <w:p w14:paraId="32A61F53" w14:textId="7777777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Make all necessary arrangements for the holding of all</w:t>
            </w:r>
            <w:r w:rsidR="00F967F6">
              <w:rPr>
                <w:rFonts w:ascii="Arial" w:hAnsi="Arial" w:cs="Arial"/>
              </w:rPr>
              <w:t xml:space="preserve"> Parish, County Council, European</w:t>
            </w:r>
            <w:r>
              <w:rPr>
                <w:rFonts w:ascii="Arial" w:hAnsi="Arial" w:cs="Arial"/>
              </w:rPr>
              <w:t xml:space="preserve"> and Parliamentary elections and referendums within the area of the County </w:t>
            </w:r>
            <w:proofErr w:type="gramStart"/>
            <w:r>
              <w:rPr>
                <w:rFonts w:ascii="Arial" w:hAnsi="Arial" w:cs="Arial"/>
              </w:rPr>
              <w:t>Council;</w:t>
            </w:r>
            <w:proofErr w:type="gramEnd"/>
          </w:p>
          <w:p w14:paraId="2A0C7BC2" w14:textId="0A23CFB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Account to the various funding organisations for the cost of running elections, on behalf of the Returning Officer;</w:t>
            </w:r>
            <w:r w:rsidR="00D96744">
              <w:rPr>
                <w:rFonts w:ascii="Arial" w:hAnsi="Arial" w:cs="Arial"/>
              </w:rPr>
              <w:t xml:space="preserve"> Areawide elections incur expenditure in the order of £750,000.</w:t>
            </w:r>
          </w:p>
          <w:p w14:paraId="1AE45309" w14:textId="6E415531" w:rsidR="005E040C" w:rsidRDefault="005E040C" w:rsidP="001D13C8">
            <w:pPr>
              <w:pStyle w:val="ListParagraph"/>
              <w:numPr>
                <w:ilvl w:val="0"/>
                <w:numId w:val="4"/>
              </w:numPr>
              <w:spacing w:before="120" w:after="120"/>
              <w:contextualSpacing w:val="0"/>
              <w:rPr>
                <w:rFonts w:ascii="Arial" w:hAnsi="Arial" w:cs="Arial"/>
              </w:rPr>
            </w:pPr>
            <w:r>
              <w:rPr>
                <w:rFonts w:ascii="Arial" w:hAnsi="Arial" w:cs="Arial"/>
              </w:rPr>
              <w:t xml:space="preserve">Establish a modern and digitised </w:t>
            </w:r>
            <w:proofErr w:type="gramStart"/>
            <w:r>
              <w:rPr>
                <w:rFonts w:ascii="Arial" w:hAnsi="Arial" w:cs="Arial"/>
              </w:rPr>
              <w:t>service;</w:t>
            </w:r>
            <w:proofErr w:type="gramEnd"/>
            <w:r>
              <w:rPr>
                <w:rFonts w:ascii="Arial" w:hAnsi="Arial" w:cs="Arial"/>
              </w:rPr>
              <w:t xml:space="preserve"> </w:t>
            </w:r>
          </w:p>
          <w:p w14:paraId="3BF49BB1" w14:textId="7777777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 xml:space="preserve">Undertake reviews of Polling Districts, Polling Places and Polling Stations on a regular </w:t>
            </w:r>
            <w:proofErr w:type="gramStart"/>
            <w:r>
              <w:rPr>
                <w:rFonts w:ascii="Arial" w:hAnsi="Arial" w:cs="Arial"/>
              </w:rPr>
              <w:t>basis;</w:t>
            </w:r>
            <w:proofErr w:type="gramEnd"/>
          </w:p>
          <w:p w14:paraId="3205A374" w14:textId="77777777" w:rsidR="00201D92" w:rsidRDefault="00201D92" w:rsidP="001D13C8">
            <w:pPr>
              <w:pStyle w:val="ListParagraph"/>
              <w:numPr>
                <w:ilvl w:val="0"/>
                <w:numId w:val="4"/>
              </w:numPr>
              <w:spacing w:before="120" w:after="120"/>
              <w:contextualSpacing w:val="0"/>
              <w:rPr>
                <w:rFonts w:ascii="Arial" w:hAnsi="Arial" w:cs="Arial"/>
              </w:rPr>
            </w:pPr>
            <w:r>
              <w:rPr>
                <w:rFonts w:ascii="Arial" w:hAnsi="Arial" w:cs="Arial"/>
              </w:rPr>
              <w:t xml:space="preserve">Ensure that elected Members are kept aware of consultation documents issue on electoral matters and ensure that the council’s views are forwarded to the appropriate body within </w:t>
            </w:r>
            <w:proofErr w:type="gramStart"/>
            <w:r>
              <w:rPr>
                <w:rFonts w:ascii="Arial" w:hAnsi="Arial" w:cs="Arial"/>
              </w:rPr>
              <w:t>timescales;</w:t>
            </w:r>
            <w:proofErr w:type="gramEnd"/>
          </w:p>
          <w:p w14:paraId="1D5C5DED" w14:textId="3D66C70F" w:rsidR="00201D92" w:rsidRDefault="00D24548" w:rsidP="001D13C8">
            <w:pPr>
              <w:pStyle w:val="ListParagraph"/>
              <w:numPr>
                <w:ilvl w:val="0"/>
                <w:numId w:val="4"/>
              </w:numPr>
              <w:spacing w:before="120" w:after="120"/>
              <w:contextualSpacing w:val="0"/>
              <w:rPr>
                <w:rFonts w:ascii="Arial" w:hAnsi="Arial" w:cs="Arial"/>
              </w:rPr>
            </w:pPr>
            <w:r>
              <w:rPr>
                <w:rFonts w:ascii="Arial" w:hAnsi="Arial" w:cs="Arial"/>
              </w:rPr>
              <w:t>L</w:t>
            </w:r>
            <w:r w:rsidR="00201D92">
              <w:rPr>
                <w:rFonts w:ascii="Arial" w:hAnsi="Arial" w:cs="Arial"/>
              </w:rPr>
              <w:t xml:space="preserve">ead in any </w:t>
            </w:r>
            <w:r w:rsidR="009E3932">
              <w:rPr>
                <w:rFonts w:ascii="Arial" w:hAnsi="Arial" w:cs="Arial"/>
              </w:rPr>
              <w:t xml:space="preserve">principal area </w:t>
            </w:r>
            <w:r w:rsidR="00201D92">
              <w:rPr>
                <w:rFonts w:ascii="Arial" w:hAnsi="Arial" w:cs="Arial"/>
              </w:rPr>
              <w:t xml:space="preserve">boundary review within the council </w:t>
            </w:r>
            <w:proofErr w:type="gramStart"/>
            <w:r w:rsidR="00201D92">
              <w:rPr>
                <w:rFonts w:ascii="Arial" w:hAnsi="Arial" w:cs="Arial"/>
              </w:rPr>
              <w:t>area;</w:t>
            </w:r>
            <w:proofErr w:type="gramEnd"/>
          </w:p>
          <w:p w14:paraId="7B8C1D31" w14:textId="021B04F7" w:rsidR="00201D92" w:rsidRDefault="00F250DD" w:rsidP="001D13C8">
            <w:pPr>
              <w:pStyle w:val="ListParagraph"/>
              <w:numPr>
                <w:ilvl w:val="0"/>
                <w:numId w:val="4"/>
              </w:numPr>
              <w:spacing w:before="120" w:after="120"/>
              <w:contextualSpacing w:val="0"/>
              <w:rPr>
                <w:rFonts w:ascii="Arial" w:hAnsi="Arial" w:cs="Arial"/>
              </w:rPr>
            </w:pPr>
            <w:r>
              <w:rPr>
                <w:rFonts w:ascii="Arial" w:hAnsi="Arial" w:cs="Arial"/>
              </w:rPr>
              <w:t>Lead on</w:t>
            </w:r>
            <w:r w:rsidR="00201D92">
              <w:rPr>
                <w:rFonts w:ascii="Arial" w:hAnsi="Arial" w:cs="Arial"/>
              </w:rPr>
              <w:t xml:space="preserve"> undertaking </w:t>
            </w:r>
            <w:r w:rsidR="009E3932">
              <w:rPr>
                <w:rFonts w:ascii="Arial" w:hAnsi="Arial" w:cs="Arial"/>
              </w:rPr>
              <w:t xml:space="preserve">local </w:t>
            </w:r>
            <w:r w:rsidR="00201D92">
              <w:rPr>
                <w:rFonts w:ascii="Arial" w:hAnsi="Arial" w:cs="Arial"/>
              </w:rPr>
              <w:t>Community Governance Reviews;</w:t>
            </w:r>
          </w:p>
          <w:p w14:paraId="4948E7AC" w14:textId="77777777" w:rsidR="00BF6B7F" w:rsidRDefault="00BF6B7F" w:rsidP="001D13C8">
            <w:pPr>
              <w:pStyle w:val="ListParagraph"/>
              <w:numPr>
                <w:ilvl w:val="0"/>
                <w:numId w:val="4"/>
              </w:numPr>
              <w:spacing w:before="120" w:after="120"/>
              <w:contextualSpacing w:val="0"/>
              <w:rPr>
                <w:rFonts w:ascii="Arial" w:hAnsi="Arial" w:cs="Arial"/>
              </w:rPr>
            </w:pPr>
            <w:r>
              <w:rPr>
                <w:rFonts w:ascii="Arial" w:hAnsi="Arial" w:cs="Arial"/>
              </w:rPr>
              <w:t>This is a politically restricted post under the Local Government and Housing Act 1989.</w:t>
            </w:r>
          </w:p>
          <w:p w14:paraId="0CEC8987" w14:textId="77777777" w:rsidR="00201D92" w:rsidRDefault="00201D92" w:rsidP="001D13C8">
            <w:pPr>
              <w:autoSpaceDE w:val="0"/>
              <w:autoSpaceDN w:val="0"/>
              <w:adjustRightInd w:val="0"/>
              <w:spacing w:before="120" w:after="120"/>
              <w:rPr>
                <w:rFonts w:ascii="Arial" w:hAnsi="Arial" w:cs="Arial"/>
              </w:rPr>
            </w:pPr>
          </w:p>
          <w:p w14:paraId="6964C3ED"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 xml:space="preserve">The above is not </w:t>
            </w:r>
            <w:proofErr w:type="gramStart"/>
            <w:r>
              <w:rPr>
                <w:rFonts w:ascii="Arial" w:hAnsi="Arial" w:cs="Arial"/>
              </w:rPr>
              <w:t>exhaustive</w:t>
            </w:r>
            <w:proofErr w:type="gramEnd"/>
            <w:r>
              <w:rPr>
                <w:rFonts w:ascii="Arial" w:hAnsi="Arial" w:cs="Arial"/>
              </w:rPr>
              <w:t xml:space="preserve"> and the post holder will be expected to undertake any duties which may reasonably fall within the level of responsibility of the post, as directed by the Head of Service.</w:t>
            </w:r>
          </w:p>
        </w:tc>
      </w:tr>
    </w:tbl>
    <w:p w14:paraId="4DE6475B"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164C419B" w14:textId="77777777" w:rsidR="001355E2" w:rsidRPr="005D752A" w:rsidRDefault="005D752A">
      <w:pPr>
        <w:rPr>
          <w:rFonts w:ascii="Arial" w:hAnsi="Arial" w:cs="Arial"/>
          <w:sz w:val="40"/>
          <w:szCs w:val="40"/>
        </w:rPr>
      </w:pPr>
      <w:r w:rsidRPr="005D752A">
        <w:rPr>
          <w:rFonts w:ascii="Arial" w:hAnsi="Arial" w:cs="Arial"/>
          <w:sz w:val="40"/>
          <w:szCs w:val="40"/>
        </w:rPr>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098D78CC" w14:textId="77777777" w:rsidTr="00856290">
        <w:trPr>
          <w:trHeight w:val="660"/>
        </w:trPr>
        <w:tc>
          <w:tcPr>
            <w:tcW w:w="1696" w:type="dxa"/>
            <w:vAlign w:val="center"/>
          </w:tcPr>
          <w:p w14:paraId="067D9F18" w14:textId="77777777" w:rsidR="005D752A" w:rsidRPr="005D752A" w:rsidRDefault="005D752A" w:rsidP="005D752A">
            <w:pPr>
              <w:rPr>
                <w:rFonts w:ascii="Arial" w:hAnsi="Arial" w:cs="Arial"/>
              </w:rPr>
            </w:pPr>
          </w:p>
        </w:tc>
        <w:tc>
          <w:tcPr>
            <w:tcW w:w="6663" w:type="dxa"/>
            <w:vAlign w:val="center"/>
          </w:tcPr>
          <w:p w14:paraId="1C4D0FA6"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535E020F"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5881E079"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32AF6345" w14:textId="77777777" w:rsidTr="002B08F4">
        <w:trPr>
          <w:trHeight w:val="2129"/>
        </w:trPr>
        <w:tc>
          <w:tcPr>
            <w:tcW w:w="1696" w:type="dxa"/>
          </w:tcPr>
          <w:p w14:paraId="135FE0BC"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603D4FBB" w14:textId="77777777" w:rsidR="005D752A" w:rsidRPr="005D752A" w:rsidRDefault="005D752A" w:rsidP="002B08F4">
            <w:pPr>
              <w:pStyle w:val="ListParagraph"/>
              <w:numPr>
                <w:ilvl w:val="0"/>
                <w:numId w:val="4"/>
              </w:numPr>
              <w:spacing w:before="120"/>
              <w:rPr>
                <w:rFonts w:ascii="Arial" w:hAnsi="Arial" w:cs="Arial"/>
              </w:rPr>
            </w:pPr>
            <w:r>
              <w:rPr>
                <w:rFonts w:ascii="Arial" w:hAnsi="Arial" w:cs="Arial"/>
              </w:rPr>
              <w:t>Level 7 management qualification</w:t>
            </w:r>
          </w:p>
        </w:tc>
        <w:tc>
          <w:tcPr>
            <w:tcW w:w="4819" w:type="dxa"/>
          </w:tcPr>
          <w:p w14:paraId="2B28A50F" w14:textId="77777777" w:rsidR="005D752A" w:rsidRDefault="005D752A" w:rsidP="002B08F4">
            <w:pPr>
              <w:pStyle w:val="ListParagraph"/>
              <w:numPr>
                <w:ilvl w:val="0"/>
                <w:numId w:val="4"/>
              </w:numPr>
              <w:spacing w:before="120"/>
              <w:ind w:left="357" w:hanging="357"/>
              <w:contextualSpacing w:val="0"/>
              <w:rPr>
                <w:rFonts w:ascii="Arial" w:hAnsi="Arial" w:cs="Arial"/>
              </w:rPr>
            </w:pPr>
            <w:r>
              <w:rPr>
                <w:rFonts w:ascii="Arial" w:hAnsi="Arial" w:cs="Arial"/>
              </w:rPr>
              <w:t xml:space="preserve">Relevant professional qualification at degree level or </w:t>
            </w:r>
            <w:proofErr w:type="gramStart"/>
            <w:r>
              <w:rPr>
                <w:rFonts w:ascii="Arial" w:hAnsi="Arial" w:cs="Arial"/>
              </w:rPr>
              <w:t>equivalent</w:t>
            </w:r>
            <w:r w:rsidR="00201D92">
              <w:rPr>
                <w:rFonts w:ascii="Arial" w:hAnsi="Arial" w:cs="Arial"/>
              </w:rPr>
              <w:t>;</w:t>
            </w:r>
            <w:proofErr w:type="gramEnd"/>
          </w:p>
          <w:p w14:paraId="5150E80C" w14:textId="77777777" w:rsidR="005D752A" w:rsidRPr="00201D92" w:rsidRDefault="00201D92" w:rsidP="002B08F4">
            <w:pPr>
              <w:pStyle w:val="ListParagraph"/>
              <w:numPr>
                <w:ilvl w:val="0"/>
                <w:numId w:val="4"/>
              </w:numPr>
              <w:spacing w:before="120"/>
              <w:ind w:left="357" w:hanging="357"/>
              <w:contextualSpacing w:val="0"/>
              <w:rPr>
                <w:rFonts w:ascii="Arial" w:hAnsi="Arial" w:cs="Arial"/>
                <w:i/>
              </w:rPr>
            </w:pPr>
            <w:r w:rsidRPr="00201D92">
              <w:rPr>
                <w:rFonts w:ascii="Arial" w:hAnsi="Arial" w:cs="Arial"/>
                <w:i/>
              </w:rPr>
              <w:t>AEA qualification.</w:t>
            </w:r>
          </w:p>
        </w:tc>
        <w:tc>
          <w:tcPr>
            <w:tcW w:w="2210" w:type="dxa"/>
          </w:tcPr>
          <w:p w14:paraId="27E2E5A9" w14:textId="77777777" w:rsidR="005D752A"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46913AF1" w14:textId="77777777" w:rsidR="00894DEE" w:rsidRPr="00813058" w:rsidRDefault="00894DEE" w:rsidP="002B08F4">
            <w:pPr>
              <w:pStyle w:val="ListParagraph"/>
              <w:numPr>
                <w:ilvl w:val="0"/>
                <w:numId w:val="4"/>
              </w:numPr>
              <w:spacing w:before="120" w:after="120"/>
              <w:ind w:left="357" w:hanging="357"/>
              <w:contextualSpacing w:val="0"/>
              <w:rPr>
                <w:rFonts w:ascii="Arial" w:hAnsi="Arial" w:cs="Arial"/>
              </w:rPr>
            </w:pPr>
            <w:r>
              <w:rPr>
                <w:rFonts w:ascii="Arial" w:hAnsi="Arial" w:cs="Arial"/>
              </w:rPr>
              <w:t>Certificates</w:t>
            </w:r>
          </w:p>
          <w:p w14:paraId="4C8F1261"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7C1037C"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136FAFB7" w14:textId="77777777" w:rsidTr="002B08F4">
        <w:trPr>
          <w:trHeight w:val="5235"/>
        </w:trPr>
        <w:tc>
          <w:tcPr>
            <w:tcW w:w="1696" w:type="dxa"/>
          </w:tcPr>
          <w:p w14:paraId="0D8022E3"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07C7299F"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7E94735A"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201A458C"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2AEADD75"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0F3EA3EE"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71238D71"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7BF619CA"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2B485065" w14:textId="77777777" w:rsidR="00CB23E1" w:rsidRDefault="00201D92" w:rsidP="00201D92">
            <w:pPr>
              <w:pStyle w:val="ListParagraph"/>
              <w:numPr>
                <w:ilvl w:val="0"/>
                <w:numId w:val="6"/>
              </w:numPr>
              <w:spacing w:before="120" w:after="120"/>
              <w:ind w:left="357" w:hanging="357"/>
              <w:contextualSpacing w:val="0"/>
              <w:rPr>
                <w:rFonts w:ascii="Arial" w:hAnsi="Arial" w:cs="Arial"/>
              </w:rPr>
            </w:pPr>
            <w:r>
              <w:rPr>
                <w:rFonts w:ascii="Arial" w:hAnsi="Arial" w:cs="Arial"/>
              </w:rPr>
              <w:t>Experience of managing Electoral Services in a large organisation containing a number of Parliamentary Constituencies</w:t>
            </w:r>
            <w:r w:rsidR="00CB23E1">
              <w:rPr>
                <w:rFonts w:ascii="Arial" w:hAnsi="Arial" w:cs="Arial"/>
              </w:rPr>
              <w:t xml:space="preserve"> and multiple divisions/parishes.</w:t>
            </w:r>
          </w:p>
          <w:p w14:paraId="10410FD5" w14:textId="77777777" w:rsidR="00725529" w:rsidRDefault="00725529" w:rsidP="00201D92">
            <w:pPr>
              <w:pStyle w:val="ListParagraph"/>
              <w:numPr>
                <w:ilvl w:val="0"/>
                <w:numId w:val="6"/>
              </w:numPr>
              <w:spacing w:before="120" w:after="120"/>
              <w:ind w:left="357" w:hanging="357"/>
              <w:contextualSpacing w:val="0"/>
              <w:rPr>
                <w:rFonts w:ascii="Arial" w:hAnsi="Arial" w:cs="Arial"/>
              </w:rPr>
            </w:pPr>
            <w:r>
              <w:rPr>
                <w:rFonts w:ascii="Arial" w:hAnsi="Arial" w:cs="Arial"/>
              </w:rPr>
              <w:t>The updating of the Electoral Register comprising approx. 390,000 electors</w:t>
            </w:r>
            <w:r w:rsidR="00C266E1">
              <w:rPr>
                <w:rFonts w:ascii="Arial" w:hAnsi="Arial" w:cs="Arial"/>
              </w:rPr>
              <w:t>, 80,000 voting by post.</w:t>
            </w:r>
          </w:p>
          <w:p w14:paraId="2B090964" w14:textId="77777777" w:rsidR="00725529" w:rsidRDefault="00725529" w:rsidP="00201D92">
            <w:pPr>
              <w:pStyle w:val="ListParagraph"/>
              <w:numPr>
                <w:ilvl w:val="0"/>
                <w:numId w:val="6"/>
              </w:numPr>
              <w:spacing w:before="120" w:after="120"/>
              <w:ind w:left="357" w:hanging="357"/>
              <w:contextualSpacing w:val="0"/>
              <w:rPr>
                <w:rFonts w:ascii="Arial" w:hAnsi="Arial" w:cs="Arial"/>
              </w:rPr>
            </w:pPr>
            <w:r>
              <w:rPr>
                <w:rFonts w:ascii="Arial" w:hAnsi="Arial" w:cs="Arial"/>
              </w:rPr>
              <w:t>Parliamentary elections across 6 constituencies with cross border considerations (approx. 30 candidates).</w:t>
            </w:r>
          </w:p>
          <w:p w14:paraId="14B9FED9" w14:textId="77777777" w:rsidR="00725529" w:rsidRDefault="00725529" w:rsidP="00201D92">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Lead authority in the election of Police &amp; Crime Commissioner for Durham &amp; Darlington area </w:t>
            </w:r>
          </w:p>
          <w:p w14:paraId="3E72832E" w14:textId="77777777" w:rsidR="00C266E1" w:rsidRDefault="00725529" w:rsidP="00201D92">
            <w:pPr>
              <w:pStyle w:val="ListParagraph"/>
              <w:numPr>
                <w:ilvl w:val="0"/>
                <w:numId w:val="6"/>
              </w:numPr>
              <w:spacing w:before="120" w:after="120"/>
              <w:ind w:left="357" w:hanging="357"/>
              <w:contextualSpacing w:val="0"/>
              <w:rPr>
                <w:rFonts w:ascii="Arial" w:hAnsi="Arial" w:cs="Arial"/>
              </w:rPr>
            </w:pPr>
            <w:r>
              <w:rPr>
                <w:rFonts w:ascii="Arial" w:hAnsi="Arial" w:cs="Arial"/>
              </w:rPr>
              <w:t>County elections, across 63 divisions (</w:t>
            </w:r>
            <w:r w:rsidR="00C266E1">
              <w:rPr>
                <w:rFonts w:ascii="Arial" w:hAnsi="Arial" w:cs="Arial"/>
              </w:rPr>
              <w:t>350-400 candidates)</w:t>
            </w:r>
          </w:p>
          <w:p w14:paraId="4A1F45F7" w14:textId="77777777" w:rsidR="00725529" w:rsidRDefault="00C266E1" w:rsidP="00201D92">
            <w:pPr>
              <w:pStyle w:val="ListParagraph"/>
              <w:numPr>
                <w:ilvl w:val="0"/>
                <w:numId w:val="6"/>
              </w:numPr>
              <w:spacing w:before="120" w:after="120"/>
              <w:ind w:left="357" w:hanging="357"/>
              <w:contextualSpacing w:val="0"/>
              <w:rPr>
                <w:rFonts w:ascii="Arial" w:hAnsi="Arial" w:cs="Arial"/>
              </w:rPr>
            </w:pPr>
            <w:r>
              <w:rPr>
                <w:rFonts w:ascii="Arial" w:hAnsi="Arial" w:cs="Arial"/>
              </w:rPr>
              <w:t>Parish elections across 194 parish areas (upwards of 1,000 candidates)</w:t>
            </w:r>
            <w:r w:rsidR="00725529">
              <w:rPr>
                <w:rFonts w:ascii="Arial" w:hAnsi="Arial" w:cs="Arial"/>
              </w:rPr>
              <w:t xml:space="preserve">. </w:t>
            </w:r>
          </w:p>
          <w:p w14:paraId="2CCBEECC" w14:textId="77777777" w:rsidR="00201D92" w:rsidRDefault="00CB23E1" w:rsidP="00201D92">
            <w:pPr>
              <w:pStyle w:val="ListParagraph"/>
              <w:numPr>
                <w:ilvl w:val="0"/>
                <w:numId w:val="6"/>
              </w:numPr>
              <w:spacing w:before="120" w:after="120"/>
              <w:ind w:left="357" w:hanging="357"/>
              <w:contextualSpacing w:val="0"/>
              <w:rPr>
                <w:rFonts w:ascii="Arial" w:hAnsi="Arial" w:cs="Arial"/>
              </w:rPr>
            </w:pPr>
            <w:r>
              <w:rPr>
                <w:rFonts w:ascii="Arial" w:hAnsi="Arial" w:cs="Arial"/>
              </w:rPr>
              <w:t>Involving standalone and combined countywide elections</w:t>
            </w:r>
            <w:r w:rsidR="00201D92">
              <w:rPr>
                <w:rFonts w:ascii="Arial" w:hAnsi="Arial" w:cs="Arial"/>
              </w:rPr>
              <w:t>.</w:t>
            </w:r>
          </w:p>
          <w:p w14:paraId="2694C853" w14:textId="77777777" w:rsidR="00725529" w:rsidRDefault="00725529" w:rsidP="00201D92">
            <w:pPr>
              <w:pStyle w:val="ListParagraph"/>
              <w:numPr>
                <w:ilvl w:val="0"/>
                <w:numId w:val="6"/>
              </w:numPr>
              <w:spacing w:before="120" w:after="120"/>
              <w:ind w:left="357" w:hanging="357"/>
              <w:contextualSpacing w:val="0"/>
              <w:rPr>
                <w:rFonts w:ascii="Arial" w:hAnsi="Arial" w:cs="Arial"/>
              </w:rPr>
            </w:pPr>
            <w:r>
              <w:rPr>
                <w:rFonts w:ascii="Arial" w:hAnsi="Arial" w:cs="Arial"/>
              </w:rPr>
              <w:t>400+ polling stations and 2 count centres with appropriate levels of staffing</w:t>
            </w:r>
          </w:p>
          <w:p w14:paraId="34D5E52E" w14:textId="2ABF38E1" w:rsidR="00D96744" w:rsidRPr="00201D92" w:rsidRDefault="00D96744" w:rsidP="00201D92">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Areawide elections incur expenditure in the order of </w:t>
            </w:r>
            <w:r w:rsidR="005E040C">
              <w:rPr>
                <w:rFonts w:ascii="Arial" w:hAnsi="Arial" w:cs="Arial"/>
              </w:rPr>
              <w:t>£</w:t>
            </w:r>
            <w:r>
              <w:rPr>
                <w:rFonts w:ascii="Arial" w:hAnsi="Arial" w:cs="Arial"/>
              </w:rPr>
              <w:t>750,000.</w:t>
            </w:r>
          </w:p>
        </w:tc>
        <w:tc>
          <w:tcPr>
            <w:tcW w:w="2210" w:type="dxa"/>
          </w:tcPr>
          <w:p w14:paraId="0CC5E510"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EF15801" w14:textId="77777777" w:rsidR="00894DEE" w:rsidRPr="00813058" w:rsidRDefault="00894DEE" w:rsidP="002B08F4">
            <w:pPr>
              <w:pStyle w:val="ListParagraph"/>
              <w:numPr>
                <w:ilvl w:val="0"/>
                <w:numId w:val="4"/>
              </w:numPr>
              <w:spacing w:before="120" w:after="120"/>
              <w:ind w:left="357" w:hanging="357"/>
              <w:contextualSpacing w:val="0"/>
              <w:rPr>
                <w:rFonts w:ascii="Arial" w:hAnsi="Arial" w:cs="Arial"/>
              </w:rPr>
            </w:pPr>
            <w:r>
              <w:rPr>
                <w:rFonts w:ascii="Arial" w:hAnsi="Arial" w:cs="Arial"/>
              </w:rPr>
              <w:t>References</w:t>
            </w:r>
          </w:p>
          <w:p w14:paraId="2BC9D2E4"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8AC34F7" w14:textId="77777777" w:rsidR="007A2FF5" w:rsidRDefault="007A2FF5" w:rsidP="002B08F4">
            <w:pPr>
              <w:pStyle w:val="ListParagraph"/>
              <w:numPr>
                <w:ilvl w:val="0"/>
                <w:numId w:val="4"/>
              </w:numPr>
              <w:spacing w:before="120" w:after="120"/>
              <w:ind w:left="357" w:hanging="357"/>
              <w:contextualSpacing w:val="0"/>
              <w:rPr>
                <w:rFonts w:ascii="Arial" w:hAnsi="Arial" w:cs="Arial"/>
              </w:rPr>
            </w:pPr>
            <w:r>
              <w:rPr>
                <w:rFonts w:ascii="Arial" w:hAnsi="Arial" w:cs="Arial"/>
              </w:rPr>
              <w:t>Interview</w:t>
            </w:r>
          </w:p>
          <w:p w14:paraId="0178D428"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472AD6AA" w14:textId="77777777" w:rsidTr="002B08F4">
        <w:tc>
          <w:tcPr>
            <w:tcW w:w="1696" w:type="dxa"/>
          </w:tcPr>
          <w:p w14:paraId="3EB4C743"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384D3B21"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05E244C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5475F77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promote the application of digital technology to support and enhance service </w:t>
            </w:r>
            <w:proofErr w:type="gramStart"/>
            <w:r>
              <w:rPr>
                <w:rFonts w:ascii="Arial" w:hAnsi="Arial" w:cs="Arial"/>
              </w:rPr>
              <w:t>delivery;</w:t>
            </w:r>
            <w:proofErr w:type="gramEnd"/>
          </w:p>
          <w:p w14:paraId="4CA444C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54EFACB5"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09C185D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6038DDD3"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00A2DB7F"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02CB4393"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4AEC06D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5BD034E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5D8B0AC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3A29C50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6F7912C8"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12D2700E" w14:textId="77777777" w:rsidR="00D314E5" w:rsidRDefault="00201D92" w:rsidP="00201D92">
            <w:pPr>
              <w:pStyle w:val="ListParagraph"/>
              <w:numPr>
                <w:ilvl w:val="0"/>
                <w:numId w:val="7"/>
              </w:numPr>
              <w:spacing w:before="120" w:after="120"/>
              <w:ind w:left="357" w:hanging="357"/>
              <w:contextualSpacing w:val="0"/>
              <w:rPr>
                <w:rFonts w:ascii="Arial" w:hAnsi="Arial" w:cs="Arial"/>
              </w:rPr>
            </w:pPr>
            <w:r>
              <w:rPr>
                <w:rFonts w:ascii="Arial" w:hAnsi="Arial" w:cs="Arial"/>
              </w:rPr>
              <w:t>Knowledge of relevant legislation and statutory frameworks</w:t>
            </w:r>
            <w:r w:rsidR="00A84A03">
              <w:rPr>
                <w:rFonts w:ascii="Arial" w:hAnsi="Arial" w:cs="Arial"/>
              </w:rPr>
              <w:t xml:space="preserve"> (Acts, Regulations and Statutory Instruments)</w:t>
            </w:r>
          </w:p>
          <w:p w14:paraId="2E21840E" w14:textId="77777777" w:rsidR="00D314E5" w:rsidRDefault="00D314E5" w:rsidP="00201D92">
            <w:pPr>
              <w:pStyle w:val="ListParagraph"/>
              <w:numPr>
                <w:ilvl w:val="0"/>
                <w:numId w:val="7"/>
              </w:numPr>
              <w:spacing w:before="120" w:after="120"/>
              <w:ind w:left="357" w:hanging="357"/>
              <w:contextualSpacing w:val="0"/>
              <w:rPr>
                <w:rFonts w:ascii="Arial" w:hAnsi="Arial" w:cs="Arial"/>
              </w:rPr>
            </w:pPr>
            <w:r>
              <w:rPr>
                <w:rFonts w:ascii="Arial" w:hAnsi="Arial" w:cs="Arial"/>
              </w:rPr>
              <w:t>Local Government Act 1972</w:t>
            </w:r>
          </w:p>
          <w:p w14:paraId="56D3E50D" w14:textId="77777777" w:rsidR="003106F1" w:rsidRDefault="003106F1" w:rsidP="00201D92">
            <w:pPr>
              <w:pStyle w:val="ListParagraph"/>
              <w:numPr>
                <w:ilvl w:val="0"/>
                <w:numId w:val="7"/>
              </w:numPr>
              <w:spacing w:before="120" w:after="120"/>
              <w:ind w:left="357" w:hanging="357"/>
              <w:contextualSpacing w:val="0"/>
              <w:rPr>
                <w:rFonts w:ascii="Arial" w:hAnsi="Arial" w:cs="Arial"/>
              </w:rPr>
            </w:pPr>
            <w:r>
              <w:rPr>
                <w:rFonts w:ascii="Arial" w:hAnsi="Arial" w:cs="Arial"/>
              </w:rPr>
              <w:t>Representation of the People Acts 1981, 1983, 1985, 1989 &amp; 2000</w:t>
            </w:r>
          </w:p>
          <w:p w14:paraId="1A070701" w14:textId="77777777" w:rsidR="00A84A03" w:rsidRDefault="003106F1" w:rsidP="001B227E">
            <w:pPr>
              <w:pStyle w:val="ListParagraph"/>
              <w:numPr>
                <w:ilvl w:val="0"/>
                <w:numId w:val="7"/>
              </w:numPr>
              <w:spacing w:before="120" w:after="120"/>
              <w:ind w:left="357" w:hanging="357"/>
              <w:contextualSpacing w:val="0"/>
              <w:rPr>
                <w:rFonts w:ascii="Arial" w:hAnsi="Arial" w:cs="Arial"/>
              </w:rPr>
            </w:pPr>
            <w:r>
              <w:rPr>
                <w:rFonts w:ascii="Arial" w:hAnsi="Arial" w:cs="Arial"/>
              </w:rPr>
              <w:t xml:space="preserve">Electoral </w:t>
            </w:r>
            <w:r w:rsidR="00A84A03">
              <w:rPr>
                <w:rFonts w:ascii="Arial" w:hAnsi="Arial" w:cs="Arial"/>
              </w:rPr>
              <w:t xml:space="preserve">Registration and </w:t>
            </w:r>
            <w:r>
              <w:rPr>
                <w:rFonts w:ascii="Arial" w:hAnsi="Arial" w:cs="Arial"/>
              </w:rPr>
              <w:t xml:space="preserve">Administration Acts </w:t>
            </w:r>
            <w:r w:rsidR="00A84A03">
              <w:rPr>
                <w:rFonts w:ascii="Arial" w:hAnsi="Arial" w:cs="Arial"/>
              </w:rPr>
              <w:t>2006 &amp; 2013</w:t>
            </w:r>
          </w:p>
          <w:p w14:paraId="1AA47EB1" w14:textId="77777777" w:rsidR="00A84A03" w:rsidRDefault="00A84A03" w:rsidP="001B227E">
            <w:pPr>
              <w:pStyle w:val="ListParagraph"/>
              <w:numPr>
                <w:ilvl w:val="0"/>
                <w:numId w:val="7"/>
              </w:numPr>
              <w:spacing w:before="120" w:after="120"/>
              <w:ind w:left="357" w:hanging="357"/>
              <w:contextualSpacing w:val="0"/>
              <w:rPr>
                <w:rFonts w:ascii="Arial" w:hAnsi="Arial" w:cs="Arial"/>
              </w:rPr>
            </w:pPr>
            <w:r>
              <w:rPr>
                <w:rFonts w:ascii="Arial" w:hAnsi="Arial" w:cs="Arial"/>
              </w:rPr>
              <w:t>Registration of Political parties and Elections Acts 1998 &amp; 2009</w:t>
            </w:r>
          </w:p>
          <w:p w14:paraId="339D1129" w14:textId="77777777" w:rsidR="005D752A" w:rsidRPr="00201D92" w:rsidRDefault="00A84A03" w:rsidP="001B227E">
            <w:pPr>
              <w:pStyle w:val="ListParagraph"/>
              <w:numPr>
                <w:ilvl w:val="0"/>
                <w:numId w:val="7"/>
              </w:numPr>
              <w:spacing w:before="120" w:after="120"/>
              <w:ind w:left="357" w:hanging="357"/>
              <w:contextualSpacing w:val="0"/>
              <w:rPr>
                <w:rFonts w:ascii="Arial" w:hAnsi="Arial" w:cs="Arial"/>
              </w:rPr>
            </w:pPr>
            <w:r>
              <w:rPr>
                <w:rFonts w:ascii="Arial" w:hAnsi="Arial" w:cs="Arial"/>
              </w:rPr>
              <w:t>Localism Act 2011</w:t>
            </w:r>
          </w:p>
        </w:tc>
        <w:tc>
          <w:tcPr>
            <w:tcW w:w="2210" w:type="dxa"/>
          </w:tcPr>
          <w:p w14:paraId="2BA828F6"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D3841C0" w14:textId="77777777" w:rsidR="007A2FF5" w:rsidRPr="00813058" w:rsidRDefault="007A2FF5" w:rsidP="002B08F4">
            <w:pPr>
              <w:pStyle w:val="ListParagraph"/>
              <w:numPr>
                <w:ilvl w:val="0"/>
                <w:numId w:val="4"/>
              </w:numPr>
              <w:spacing w:before="120" w:after="120"/>
              <w:ind w:left="357" w:hanging="357"/>
              <w:contextualSpacing w:val="0"/>
              <w:rPr>
                <w:rFonts w:ascii="Arial" w:hAnsi="Arial" w:cs="Arial"/>
              </w:rPr>
            </w:pPr>
            <w:r>
              <w:rPr>
                <w:rFonts w:ascii="Arial" w:hAnsi="Arial" w:cs="Arial"/>
              </w:rPr>
              <w:t>References</w:t>
            </w:r>
          </w:p>
          <w:p w14:paraId="223F6188"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48D5EC4" w14:textId="77777777" w:rsidR="007A2FF5" w:rsidRDefault="007A2FF5" w:rsidP="002B08F4">
            <w:pPr>
              <w:pStyle w:val="ListParagraph"/>
              <w:numPr>
                <w:ilvl w:val="0"/>
                <w:numId w:val="4"/>
              </w:numPr>
              <w:spacing w:before="120" w:after="120"/>
              <w:ind w:left="357" w:hanging="357"/>
              <w:contextualSpacing w:val="0"/>
              <w:rPr>
                <w:rFonts w:ascii="Arial" w:hAnsi="Arial" w:cs="Arial"/>
              </w:rPr>
            </w:pPr>
            <w:r>
              <w:rPr>
                <w:rFonts w:ascii="Arial" w:hAnsi="Arial" w:cs="Arial"/>
              </w:rPr>
              <w:t>Interview</w:t>
            </w:r>
          </w:p>
          <w:p w14:paraId="6E798687"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2EC8E73D" w14:textId="77777777" w:rsidTr="002B08F4">
        <w:trPr>
          <w:trHeight w:val="2725"/>
        </w:trPr>
        <w:tc>
          <w:tcPr>
            <w:tcW w:w="1696" w:type="dxa"/>
          </w:tcPr>
          <w:p w14:paraId="517A07B5" w14:textId="77777777"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14:paraId="51867D53"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2F82B970"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4510C0D3"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2EC22EE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6A8E1BFF"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68D4FBCC"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4DCCAC1B" w14:textId="77777777" w:rsidR="005D752A" w:rsidRPr="005D752A" w:rsidRDefault="005D752A" w:rsidP="002B08F4">
            <w:pPr>
              <w:spacing w:before="120" w:after="120"/>
              <w:rPr>
                <w:rFonts w:ascii="Arial" w:hAnsi="Arial" w:cs="Arial"/>
              </w:rPr>
            </w:pPr>
          </w:p>
        </w:tc>
        <w:tc>
          <w:tcPr>
            <w:tcW w:w="2210" w:type="dxa"/>
          </w:tcPr>
          <w:p w14:paraId="3FF37055"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92955A0" w14:textId="77777777" w:rsidR="007A2FF5" w:rsidRPr="00813058" w:rsidRDefault="007A2FF5" w:rsidP="002B08F4">
            <w:pPr>
              <w:pStyle w:val="ListParagraph"/>
              <w:numPr>
                <w:ilvl w:val="0"/>
                <w:numId w:val="4"/>
              </w:numPr>
              <w:spacing w:before="120" w:after="120"/>
              <w:ind w:left="357" w:hanging="357"/>
              <w:contextualSpacing w:val="0"/>
              <w:rPr>
                <w:rFonts w:ascii="Arial" w:hAnsi="Arial" w:cs="Arial"/>
              </w:rPr>
            </w:pPr>
            <w:r>
              <w:rPr>
                <w:rFonts w:ascii="Arial" w:hAnsi="Arial" w:cs="Arial"/>
              </w:rPr>
              <w:t>References</w:t>
            </w:r>
          </w:p>
          <w:p w14:paraId="41C6D8C8"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04773BAA" w14:textId="77777777" w:rsidR="007A2FF5" w:rsidRDefault="007A2FF5" w:rsidP="002B08F4">
            <w:pPr>
              <w:pStyle w:val="ListParagraph"/>
              <w:numPr>
                <w:ilvl w:val="0"/>
                <w:numId w:val="4"/>
              </w:numPr>
              <w:spacing w:before="120" w:after="120"/>
              <w:ind w:left="357" w:hanging="357"/>
              <w:contextualSpacing w:val="0"/>
              <w:rPr>
                <w:rFonts w:ascii="Arial" w:hAnsi="Arial" w:cs="Arial"/>
              </w:rPr>
            </w:pPr>
            <w:r>
              <w:rPr>
                <w:rFonts w:ascii="Arial" w:hAnsi="Arial" w:cs="Arial"/>
              </w:rPr>
              <w:t>Interview</w:t>
            </w:r>
          </w:p>
          <w:p w14:paraId="6D38956A"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6C5BE001"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9554" w14:textId="77777777" w:rsidR="00173BAA" w:rsidRDefault="00173BAA" w:rsidP="001E4736">
      <w:pPr>
        <w:spacing w:after="0" w:line="240" w:lineRule="auto"/>
      </w:pPr>
      <w:r>
        <w:separator/>
      </w:r>
    </w:p>
  </w:endnote>
  <w:endnote w:type="continuationSeparator" w:id="0">
    <w:p w14:paraId="0CFC5088" w14:textId="77777777" w:rsidR="00173BAA" w:rsidRDefault="00173BAA"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CF77A" w14:textId="77777777" w:rsidR="00173BAA" w:rsidRDefault="00173BAA" w:rsidP="001E4736">
      <w:pPr>
        <w:spacing w:after="0" w:line="240" w:lineRule="auto"/>
      </w:pPr>
      <w:r>
        <w:separator/>
      </w:r>
    </w:p>
  </w:footnote>
  <w:footnote w:type="continuationSeparator" w:id="0">
    <w:p w14:paraId="038AE870" w14:textId="77777777" w:rsidR="00173BAA" w:rsidRDefault="00173BAA"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D677982"/>
    <w:multiLevelType w:val="hybridMultilevel"/>
    <w:tmpl w:val="BF3E3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49BB4510"/>
    <w:multiLevelType w:val="hybridMultilevel"/>
    <w:tmpl w:val="40B23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078A2"/>
    <w:rsid w:val="0007688D"/>
    <w:rsid w:val="0009149E"/>
    <w:rsid w:val="00137259"/>
    <w:rsid w:val="00142587"/>
    <w:rsid w:val="00173BAA"/>
    <w:rsid w:val="001B227E"/>
    <w:rsid w:val="001D13C8"/>
    <w:rsid w:val="001E4736"/>
    <w:rsid w:val="00201D92"/>
    <w:rsid w:val="002A023E"/>
    <w:rsid w:val="002B08F4"/>
    <w:rsid w:val="002D4BBD"/>
    <w:rsid w:val="003106F1"/>
    <w:rsid w:val="00317884"/>
    <w:rsid w:val="00351035"/>
    <w:rsid w:val="00376DBB"/>
    <w:rsid w:val="005D752A"/>
    <w:rsid w:val="005E040C"/>
    <w:rsid w:val="00673092"/>
    <w:rsid w:val="006B2F38"/>
    <w:rsid w:val="00705FF3"/>
    <w:rsid w:val="00725529"/>
    <w:rsid w:val="00761DF4"/>
    <w:rsid w:val="007A2FF5"/>
    <w:rsid w:val="00813058"/>
    <w:rsid w:val="00856290"/>
    <w:rsid w:val="00894DEE"/>
    <w:rsid w:val="008F2B9D"/>
    <w:rsid w:val="00912C64"/>
    <w:rsid w:val="009A4FDD"/>
    <w:rsid w:val="009E3932"/>
    <w:rsid w:val="00A56207"/>
    <w:rsid w:val="00A84A03"/>
    <w:rsid w:val="00AE1D78"/>
    <w:rsid w:val="00BC10A2"/>
    <w:rsid w:val="00BF6B7F"/>
    <w:rsid w:val="00C266E1"/>
    <w:rsid w:val="00CB23E1"/>
    <w:rsid w:val="00D16918"/>
    <w:rsid w:val="00D23D55"/>
    <w:rsid w:val="00D24548"/>
    <w:rsid w:val="00D314E5"/>
    <w:rsid w:val="00D90B5D"/>
    <w:rsid w:val="00D96744"/>
    <w:rsid w:val="00DD3906"/>
    <w:rsid w:val="00E03C79"/>
    <w:rsid w:val="00E744B1"/>
    <w:rsid w:val="00F06B0A"/>
    <w:rsid w:val="00F250DD"/>
    <w:rsid w:val="00F9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42410"/>
  <w15:docId w15:val="{3ADA9CE5-ADE9-4CC9-9203-81D56040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alloonText">
    <w:name w:val="Balloon Text"/>
    <w:basedOn w:val="Normal"/>
    <w:link w:val="BalloonTextChar"/>
    <w:uiPriority w:val="99"/>
    <w:semiHidden/>
    <w:unhideWhenUsed/>
    <w:rsid w:val="0072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2A6F-2400-4D12-884F-3D618BA4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Kaps</dc:creator>
  <cp:lastModifiedBy>Ros Layfield</cp:lastModifiedBy>
  <cp:revision>4</cp:revision>
  <dcterms:created xsi:type="dcterms:W3CDTF">2021-07-20T08:30:00Z</dcterms:created>
  <dcterms:modified xsi:type="dcterms:W3CDTF">2021-07-23T14:35:00Z</dcterms:modified>
</cp:coreProperties>
</file>