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0F5" w:rsidRDefault="003470F5" w:rsidP="003470F5">
      <w:pPr>
        <w:shd w:val="clear" w:color="auto" w:fill="FFFFFF"/>
        <w:spacing w:before="100" w:beforeAutospacing="1" w:after="100" w:afterAutospacing="1" w:line="240" w:lineRule="atLeast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4"/>
          <w:szCs w:val="34"/>
          <w:lang w:val="en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 w:val="34"/>
          <w:szCs w:val="34"/>
          <w:lang w:val="en"/>
        </w:rPr>
        <w:t xml:space="preserve">Secondary school teacher: </w:t>
      </w:r>
      <w:r>
        <w:rPr>
          <w:rFonts w:ascii="Tahoma" w:eastAsia="Times New Roman" w:hAnsi="Tahoma" w:cs="Tahoma"/>
          <w:b/>
          <w:bCs/>
          <w:color w:val="111111"/>
          <w:kern w:val="36"/>
          <w:sz w:val="31"/>
          <w:szCs w:val="31"/>
          <w:lang w:val="en"/>
        </w:rPr>
        <w:t>Job description</w:t>
      </w:r>
    </w:p>
    <w:p w:rsidR="003470F5" w:rsidRDefault="003470F5" w:rsidP="003470F5">
      <w:pPr>
        <w:shd w:val="clear" w:color="auto" w:fill="FFFFFF"/>
        <w:spacing w:before="100" w:beforeAutospacing="1" w:after="100" w:afterAutospacing="1" w:line="336" w:lineRule="atLeast"/>
        <w:outlineLvl w:val="4"/>
        <w:rPr>
          <w:rFonts w:ascii="Arial" w:eastAsia="Times New Roman" w:hAnsi="Arial" w:cs="Arial"/>
          <w:b/>
          <w:bCs/>
          <w:vanish/>
          <w:color w:val="636363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vanish/>
          <w:color w:val="636363"/>
          <w:sz w:val="24"/>
          <w:szCs w:val="24"/>
          <w:lang w:val="en"/>
        </w:rPr>
        <w:t>More in this section</w:t>
      </w:r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r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  <w:t xml:space="preserve">Job description </w:t>
      </w:r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hyperlink r:id="rId5" w:tooltip="Salary and conditions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 xml:space="preserve">Salary and conditions </w:t>
        </w:r>
      </w:hyperlink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hyperlink r:id="rId6" w:tooltip="Entry requirements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 xml:space="preserve">Entry requirements </w:t>
        </w:r>
      </w:hyperlink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hyperlink r:id="rId7" w:tooltip="Training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 xml:space="preserve">Training </w:t>
        </w:r>
      </w:hyperlink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hyperlink r:id="rId8" w:tooltip="Career development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 xml:space="preserve">Career development </w:t>
        </w:r>
      </w:hyperlink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hyperlink r:id="rId9" w:tooltip="Employers and vacancy sources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 xml:space="preserve">Employers and vacancy … </w:t>
        </w:r>
      </w:hyperlink>
    </w:p>
    <w:p w:rsidR="003470F5" w:rsidRDefault="003470F5" w:rsidP="003470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300" w:right="150"/>
        <w:rPr>
          <w:rFonts w:ascii="Arial" w:eastAsia="Times New Roman" w:hAnsi="Arial" w:cs="Arial"/>
          <w:vanish/>
          <w:color w:val="999999"/>
          <w:sz w:val="24"/>
          <w:szCs w:val="24"/>
          <w:lang w:val="en"/>
        </w:rPr>
      </w:pPr>
      <w:hyperlink r:id="rId10" w:tooltip="Related jobs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 xml:space="preserve">Related jobs </w:t>
        </w:r>
      </w:hyperlink>
    </w:p>
    <w:p w:rsidR="003470F5" w:rsidRDefault="003470F5" w:rsidP="003470F5">
      <w:pPr>
        <w:shd w:val="clear" w:color="auto" w:fill="E3E3E3"/>
        <w:spacing w:before="100" w:beforeAutospacing="1" w:line="336" w:lineRule="atLeast"/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</w:pPr>
      <w:hyperlink r:id="rId11" w:tgtFrame="_blank" w:tooltip="Opens in a new window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>Print all pages in this section</w:t>
        </w:r>
      </w:hyperlink>
    </w:p>
    <w:p w:rsidR="003470F5" w:rsidRDefault="003470F5" w:rsidP="003470F5">
      <w:pPr>
        <w:shd w:val="clear" w:color="auto" w:fill="E3E3E3"/>
        <w:spacing w:before="100" w:beforeAutospacing="1" w:after="100" w:afterAutospacing="1" w:line="336" w:lineRule="atLeast"/>
        <w:outlineLvl w:val="4"/>
        <w:rPr>
          <w:rFonts w:ascii="Arial" w:eastAsia="Times New Roman" w:hAnsi="Arial" w:cs="Arial"/>
          <w:b/>
          <w:bCs/>
          <w:vanish/>
          <w:color w:val="636363"/>
          <w:sz w:val="24"/>
          <w:szCs w:val="24"/>
          <w:lang w:val="en"/>
        </w:rPr>
      </w:pPr>
      <w:r>
        <w:rPr>
          <w:rFonts w:ascii="Arial" w:eastAsia="Times New Roman" w:hAnsi="Arial" w:cs="Arial"/>
          <w:b/>
          <w:bCs/>
          <w:vanish/>
          <w:color w:val="636363"/>
          <w:sz w:val="24"/>
          <w:szCs w:val="24"/>
          <w:lang w:val="en"/>
        </w:rPr>
        <w:t>Case studies</w:t>
      </w:r>
    </w:p>
    <w:p w:rsidR="003470F5" w:rsidRDefault="003470F5" w:rsidP="003470F5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</w:pPr>
      <w:hyperlink r:id="rId12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>Secondary school teacher: Sarah</w:t>
        </w:r>
      </w:hyperlink>
    </w:p>
    <w:p w:rsidR="003470F5" w:rsidRDefault="003470F5" w:rsidP="003470F5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</w:pPr>
      <w:hyperlink r:id="rId13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>Maths teacher: David</w:t>
        </w:r>
      </w:hyperlink>
    </w:p>
    <w:p w:rsidR="003470F5" w:rsidRDefault="003470F5" w:rsidP="003470F5">
      <w:pPr>
        <w:numPr>
          <w:ilvl w:val="0"/>
          <w:numId w:val="2"/>
        </w:numPr>
        <w:shd w:val="clear" w:color="auto" w:fill="E3E3E3"/>
        <w:spacing w:before="100" w:beforeAutospacing="1" w:after="100" w:afterAutospacing="1" w:line="336" w:lineRule="atLeast"/>
        <w:ind w:left="300"/>
        <w:rPr>
          <w:rFonts w:ascii="Arial" w:eastAsia="Times New Roman" w:hAnsi="Arial" w:cs="Arial"/>
          <w:vanish/>
          <w:color w:val="000000"/>
          <w:sz w:val="24"/>
          <w:szCs w:val="24"/>
          <w:lang w:val="en"/>
        </w:rPr>
      </w:pPr>
      <w:hyperlink r:id="rId14" w:history="1">
        <w:r>
          <w:rPr>
            <w:rStyle w:val="Hyperlink"/>
            <w:rFonts w:ascii="Arial" w:eastAsia="Times New Roman" w:hAnsi="Arial" w:cs="Arial"/>
            <w:vanish/>
            <w:color w:val="003366"/>
            <w:sz w:val="24"/>
            <w:szCs w:val="24"/>
            <w:lang w:val="en"/>
          </w:rPr>
          <w:t>IT teacher: Nick</w:t>
        </w:r>
      </w:hyperlink>
    </w:p>
    <w:p w:rsidR="003470F5" w:rsidRDefault="003470F5" w:rsidP="003470F5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A secondary school teacher teaches one or more national curriculum subjects to pupils aged 11-16, or up to 19 in schools with sixth forms.</w:t>
      </w:r>
    </w:p>
    <w:p w:rsidR="003470F5" w:rsidRDefault="003470F5" w:rsidP="003470F5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Teachers plan lessons in line with national objectives to ensure that pupils learn. They also encourage, monitor and record the progress of their pupils.</w:t>
      </w:r>
    </w:p>
    <w:p w:rsidR="003470F5" w:rsidRDefault="003470F5" w:rsidP="003470F5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Teachers support, observe and record the progress of their class. They also plan lessons in line with national objectives with the aim of ensuring a healthy culture of learning.</w:t>
      </w:r>
    </w:p>
    <w:p w:rsidR="003470F5" w:rsidRDefault="003470F5" w:rsidP="003470F5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Teachers must also keep up to date with developments in their subject area, new resources, methods and national objectives. Teachers liaise and network with other professionals, parents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carers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both informally and formally.</w:t>
      </w:r>
    </w:p>
    <w:p w:rsidR="003470F5" w:rsidRDefault="003470F5" w:rsidP="003470F5">
      <w:pPr>
        <w:shd w:val="clear" w:color="auto" w:fill="FFFFFF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en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val="en"/>
        </w:rPr>
        <w:t>Typical work activities</w:t>
      </w:r>
    </w:p>
    <w:p w:rsidR="003470F5" w:rsidRDefault="003470F5" w:rsidP="003470F5">
      <w:pPr>
        <w:shd w:val="clear" w:color="auto" w:fill="FFFFFF"/>
        <w:spacing w:before="100" w:beforeAutospacing="1" w:after="240" w:line="336" w:lineRule="atLeast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Typical work activities include: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preparing and delivering lessons to a range of classes including putting up displays in the classroom;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marking work, giving appropriate feedback and maintaining records of pupils' progress and development;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researching new topic areas, maintaining up-to-date subject knowledge and then devising and writing new curriculum materials;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selecting and using a range of different learning resources and equipment, including podcasts and interactive whiteboards;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undertaking pastoral duties, such as taking on the role of form tutor, and supporting pupils on an individual basis through academic or personal difficulties;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preparing pupils for qualifications and external examinations;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managing pupil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behaviour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in the classroom and on school premises, and applying appropriate and effective measures in cases of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misbehaviour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supervising and supporting the work of teaching assistants, trainee teachers and newly qualified teachers (NQTs);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participating in and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organising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extracurricular activities, such as outings, social activities and sporting events;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participating in departmental meetings, parents' evenings and whole school training events;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lastRenderedPageBreak/>
        <w:t>liaising with other professionals, such as learning mentors, careers advisers, educational psychologists and education welfare officers;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undergoing regular observations and participating in regular in-service training (INSET) as part of continuing professional development (CPD);</w:t>
      </w:r>
    </w:p>
    <w:p w:rsidR="003470F5" w:rsidRDefault="003470F5" w:rsidP="003470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288"/>
        <w:rPr>
          <w:rFonts w:ascii="Arial" w:eastAsia="Times New Roman" w:hAnsi="Arial" w:cs="Arial"/>
          <w:color w:val="000000"/>
          <w:sz w:val="24"/>
          <w:szCs w:val="24"/>
          <w:lang w:val="en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>teaching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"/>
        </w:rPr>
        <w:t xml:space="preserve"> in middle schools, which take children aged eight or nine to 12 or 13, teaching the primary or secondary curriculum appropriate to the age of the children.</w:t>
      </w:r>
    </w:p>
    <w:p w:rsidR="003470F5" w:rsidRDefault="003470F5" w:rsidP="003470F5"/>
    <w:p w:rsidR="0049346E" w:rsidRDefault="0049346E">
      <w:bookmarkStart w:id="0" w:name="_GoBack"/>
      <w:bookmarkEnd w:id="0"/>
    </w:p>
    <w:sectPr w:rsidR="00493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374"/>
    <w:multiLevelType w:val="multilevel"/>
    <w:tmpl w:val="5E7A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0156C"/>
    <w:multiLevelType w:val="multilevel"/>
    <w:tmpl w:val="F86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312BD3"/>
    <w:multiLevelType w:val="multilevel"/>
    <w:tmpl w:val="EB98D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F5"/>
    <w:rsid w:val="003470F5"/>
    <w:rsid w:val="0049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00FA4-2794-430C-8EFF-E8B0F1A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0F5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cts.ac.uk/secondary_school_teacher_career_development.htm" TargetMode="External"/><Relationship Id="rId13" Type="http://schemas.openxmlformats.org/officeDocument/2006/relationships/hyperlink" Target="http://www.prospects.ac.uk/case_studies_maths_teacher_david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pects.ac.uk/secondary_school_teacher_training.htm" TargetMode="External"/><Relationship Id="rId12" Type="http://schemas.openxmlformats.org/officeDocument/2006/relationships/hyperlink" Target="http://www.prospects.ac.uk/case_studies_secondary_school_teacher_sarah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rospects.ac.uk/secondary_school_teacher_entry_requirements.htm" TargetMode="External"/><Relationship Id="rId11" Type="http://schemas.openxmlformats.org/officeDocument/2006/relationships/hyperlink" Target="http://www.prospects.ac.uk/secondary_school_teacher_print_version.htm" TargetMode="External"/><Relationship Id="rId5" Type="http://schemas.openxmlformats.org/officeDocument/2006/relationships/hyperlink" Target="http://www.prospects.ac.uk/secondary_school_teacher_salary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ospects.ac.uk/secondary_school_teacher_related_job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pects.ac.uk/secondary_school_teacher_vacancy_sources.htm" TargetMode="External"/><Relationship Id="rId14" Type="http://schemas.openxmlformats.org/officeDocument/2006/relationships/hyperlink" Target="http://www.prospects.ac.uk/case_studies_it_teacher_nic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DFBC1D2D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Jobson</dc:creator>
  <cp:keywords/>
  <dc:description/>
  <cp:lastModifiedBy>Jemma Jobson</cp:lastModifiedBy>
  <cp:revision>1</cp:revision>
  <dcterms:created xsi:type="dcterms:W3CDTF">2014-01-08T11:05:00Z</dcterms:created>
  <dcterms:modified xsi:type="dcterms:W3CDTF">2014-01-08T11:05:00Z</dcterms:modified>
</cp:coreProperties>
</file>