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736BA21F" w14:textId="77777777" w:rsidR="00845787" w:rsidRDefault="0041221D" w:rsidP="00B35AE7">
            <w:pPr>
              <w:rPr>
                <w:rFonts w:cs="Arial"/>
                <w:szCs w:val="24"/>
              </w:rPr>
            </w:pPr>
            <w:r w:rsidRPr="0041221D">
              <w:rPr>
                <w:rFonts w:cs="Arial"/>
                <w:szCs w:val="24"/>
              </w:rPr>
              <w:t>Registration Officer – Ceremony Co-ordinat</w:t>
            </w:r>
            <w:r>
              <w:rPr>
                <w:rFonts w:cs="Arial"/>
                <w:szCs w:val="24"/>
              </w:rPr>
              <w:t>or</w:t>
            </w:r>
          </w:p>
          <w:p w14:paraId="6327AE2B" w14:textId="7E3C97B3" w:rsidR="0041221D" w:rsidRPr="000128F7" w:rsidRDefault="0041221D" w:rsidP="00B35AE7">
            <w:pPr>
              <w:rPr>
                <w:rFonts w:cs="Arial"/>
                <w:szCs w:val="24"/>
              </w:rPr>
            </w:pPr>
            <w:r w:rsidRPr="0041221D">
              <w:rPr>
                <w:rFonts w:cs="Arial"/>
                <w:szCs w:val="24"/>
              </w:rPr>
              <w:t>To act as a Deputy Registrar and Deputy Superintendent Registrar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569A76C2" w:rsidR="00845787" w:rsidRPr="000128F7" w:rsidRDefault="0041221D" w:rsidP="00FB1A80">
            <w:pPr>
              <w:rPr>
                <w:szCs w:val="24"/>
              </w:rPr>
            </w:pPr>
            <w:r>
              <w:rPr>
                <w:szCs w:val="24"/>
              </w:rPr>
              <w:t>N91</w:t>
            </w:r>
            <w:r w:rsidR="00875187">
              <w:rPr>
                <w:szCs w:val="24"/>
              </w:rPr>
              <w:t>50</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34E1B04F" w:rsidR="00845787" w:rsidRPr="000128F7" w:rsidRDefault="0041221D" w:rsidP="00FB1A80">
            <w:pPr>
              <w:spacing w:before="120"/>
              <w:rPr>
                <w:rFonts w:cs="Arial"/>
                <w:szCs w:val="24"/>
              </w:rPr>
            </w:pPr>
            <w:r>
              <w:rPr>
                <w:rFonts w:cs="Arial"/>
                <w:szCs w:val="24"/>
              </w:rPr>
              <w:t>7</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75AC64FD" w:rsidR="00845787" w:rsidRPr="000128F7" w:rsidRDefault="0041221D" w:rsidP="00D70625">
            <w:pPr>
              <w:rPr>
                <w:rFonts w:cs="Arial"/>
                <w:szCs w:val="24"/>
              </w:rPr>
            </w:pPr>
            <w:r>
              <w:rPr>
                <w:rFonts w:cs="Arial"/>
                <w:szCs w:val="24"/>
              </w:rPr>
              <w:t>Resources</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B423975" w14:textId="08692D3D" w:rsidR="00845787" w:rsidRPr="000128F7" w:rsidRDefault="0041221D" w:rsidP="00D70625">
            <w:pPr>
              <w:rPr>
                <w:rFonts w:cs="Arial"/>
                <w:szCs w:val="24"/>
              </w:rPr>
            </w:pPr>
            <w:r>
              <w:rPr>
                <w:rFonts w:cs="Arial"/>
                <w:szCs w:val="24"/>
              </w:rPr>
              <w:t>Legal &amp; Democratic Services – Registration Services</w:t>
            </w: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1413624" w14:textId="5DECABDB" w:rsidR="00845787" w:rsidRPr="000128F7" w:rsidRDefault="0041221D" w:rsidP="008626B8">
            <w:pPr>
              <w:rPr>
                <w:rFonts w:cs="Arial"/>
                <w:szCs w:val="24"/>
              </w:rPr>
            </w:pPr>
            <w:r w:rsidRPr="0041221D">
              <w:rPr>
                <w:rFonts w:cs="Arial"/>
                <w:szCs w:val="24"/>
              </w:rPr>
              <w:t>The post holder will be accountable to the Team Leader</w:t>
            </w:r>
            <w:r>
              <w:t xml:space="preserve"> </w:t>
            </w:r>
            <w:r w:rsidRPr="0041221D">
              <w:rPr>
                <w:rFonts w:cs="Arial"/>
                <w:szCs w:val="24"/>
              </w:rPr>
              <w:t>Ceremony Co-ordinat</w:t>
            </w:r>
            <w:r>
              <w:rPr>
                <w:rFonts w:cs="Arial"/>
                <w:szCs w:val="24"/>
              </w:rPr>
              <w:t>or.</w:t>
            </w: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52003464"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will be</w:t>
            </w:r>
            <w:r w:rsidR="0041221D">
              <w:rPr>
                <w:rFonts w:cs="Arial"/>
                <w:szCs w:val="24"/>
              </w:rPr>
              <w:t xml:space="preserve"> Durham Register Officer</w:t>
            </w:r>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43E7B483" w:rsidR="006C48DC" w:rsidRPr="00DD6B68" w:rsidRDefault="006C48DC" w:rsidP="006C48DC">
            <w:pPr>
              <w:rPr>
                <w:rFonts w:cs="Arial"/>
                <w:szCs w:val="24"/>
              </w:rPr>
            </w:pPr>
            <w:r w:rsidRPr="00DD6B68">
              <w:rPr>
                <w:rFonts w:cs="Arial"/>
                <w:szCs w:val="24"/>
              </w:rPr>
              <w:t xml:space="preserve">This post </w:t>
            </w:r>
            <w:r w:rsidR="003B6969" w:rsidRPr="00DD6B68">
              <w:rPr>
                <w:rFonts w:cs="Arial"/>
                <w:szCs w:val="24"/>
              </w:rPr>
              <w:t>is</w:t>
            </w:r>
            <w:r w:rsidRPr="00DD6B68">
              <w:rPr>
                <w:rFonts w:cs="Arial"/>
                <w:szCs w:val="24"/>
              </w:rPr>
              <w:t xml:space="preserve"> subject to a </w:t>
            </w:r>
            <w:r w:rsidR="00DD6B68" w:rsidRPr="00DD6B68">
              <w:rPr>
                <w:rFonts w:cs="Arial"/>
                <w:szCs w:val="24"/>
              </w:rPr>
              <w:t xml:space="preserve">Basic </w:t>
            </w:r>
            <w:r w:rsidRPr="00DD6B68">
              <w:rPr>
                <w:rFonts w:cs="Arial"/>
                <w:szCs w:val="24"/>
              </w:rPr>
              <w:t>disclosure.</w:t>
            </w:r>
          </w:p>
          <w:p w14:paraId="7B94AA16" w14:textId="2A355297" w:rsidR="006C48DC" w:rsidRPr="00DD6B68"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702B90BA" w:rsidR="006C48DC" w:rsidRPr="00DD6B68" w:rsidRDefault="006C48DC" w:rsidP="006C48DC">
            <w:pPr>
              <w:rPr>
                <w:rFonts w:cs="Arial"/>
                <w:szCs w:val="24"/>
              </w:rPr>
            </w:pPr>
            <w:r w:rsidRPr="00DD6B68">
              <w:rPr>
                <w:rFonts w:cs="Arial"/>
                <w:szCs w:val="24"/>
              </w:rPr>
              <w:t xml:space="preserve">This post </w:t>
            </w:r>
            <w:r w:rsidR="00FB1A80" w:rsidRPr="00DD6B68">
              <w:rPr>
                <w:rFonts w:cs="Arial"/>
                <w:szCs w:val="24"/>
              </w:rPr>
              <w:t>is</w:t>
            </w:r>
            <w:r w:rsidR="00F64626" w:rsidRPr="00DD6B68">
              <w:rPr>
                <w:rFonts w:cs="Arial"/>
                <w:szCs w:val="24"/>
              </w:rPr>
              <w:t xml:space="preserve"> </w:t>
            </w:r>
            <w:r w:rsidR="00D409AA">
              <w:rPr>
                <w:rFonts w:cs="Arial"/>
                <w:szCs w:val="24"/>
              </w:rPr>
              <w:t xml:space="preserve">not </w:t>
            </w:r>
            <w:r w:rsidRPr="00DD6B68">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20DA5BC3" w:rsidR="006C48DC" w:rsidRPr="00DD6B68" w:rsidRDefault="006C48DC" w:rsidP="006C48DC">
            <w:pPr>
              <w:rPr>
                <w:rFonts w:cs="Arial"/>
                <w:szCs w:val="24"/>
              </w:rPr>
            </w:pPr>
            <w:r w:rsidRPr="00DD6B68">
              <w:rPr>
                <w:rFonts w:cs="Arial"/>
                <w:szCs w:val="24"/>
              </w:rPr>
              <w:t>This post</w:t>
            </w:r>
            <w:r w:rsidR="00FB1A80" w:rsidRPr="00DD6B68">
              <w:rPr>
                <w:rFonts w:cs="Arial"/>
                <w:szCs w:val="24"/>
              </w:rPr>
              <w:t xml:space="preserve"> </w:t>
            </w:r>
            <w:r w:rsidR="003B6969" w:rsidRPr="00DD6B68">
              <w:rPr>
                <w:rFonts w:cs="Arial"/>
                <w:szCs w:val="24"/>
              </w:rPr>
              <w:t xml:space="preserve">is </w:t>
            </w:r>
            <w:r w:rsidRPr="00DD6B68">
              <w:rPr>
                <w:rFonts w:cs="Arial"/>
                <w:szCs w:val="24"/>
              </w:rPr>
              <w:t>not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3FC6F266" w:rsidR="009941C6" w:rsidRPr="000128F7" w:rsidRDefault="00DD6B68" w:rsidP="00ED4BE4">
      <w:pPr>
        <w:rPr>
          <w:szCs w:val="24"/>
        </w:rPr>
      </w:pPr>
      <w:r w:rsidRPr="00DD6B68">
        <w:rPr>
          <w:szCs w:val="24"/>
        </w:rPr>
        <w:t>To undertake and assist with the delivery of statutory and non-statutory activities of the Registration Services.</w:t>
      </w: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09EAFD04" w14:textId="77777777" w:rsidR="00DD6B68" w:rsidRDefault="00DD6B68" w:rsidP="00DD6B68">
      <w:pPr>
        <w:ind w:left="720" w:hanging="720"/>
      </w:pPr>
      <w:r>
        <w:t>Listed below are the responsibilities this role will be primarily responsible for:</w:t>
      </w:r>
    </w:p>
    <w:p w14:paraId="16F94A2A" w14:textId="77777777" w:rsidR="00DD6B68" w:rsidRDefault="00DD6B68" w:rsidP="00DD6B68">
      <w:pPr>
        <w:ind w:left="720" w:hanging="720"/>
      </w:pPr>
    </w:p>
    <w:p w14:paraId="749EDA36" w14:textId="26395484" w:rsidR="00DD6B68" w:rsidRDefault="00DD6B68" w:rsidP="00DD6B68">
      <w:pPr>
        <w:pStyle w:val="ListParagraph"/>
        <w:numPr>
          <w:ilvl w:val="0"/>
          <w:numId w:val="10"/>
        </w:numPr>
        <w:ind w:hanging="578"/>
      </w:pPr>
      <w:r>
        <w:t>To undertake statutory duties in connection with the registration of Births, Deaths, Marriages and Civil Partnerships and the taking of Notices of Marriages and Civil Partnerships.</w:t>
      </w:r>
    </w:p>
    <w:p w14:paraId="0D264939" w14:textId="77777777" w:rsidR="00DD6B68" w:rsidRDefault="00DD6B68" w:rsidP="00DD6B68">
      <w:pPr>
        <w:ind w:left="720" w:hanging="578"/>
      </w:pPr>
    </w:p>
    <w:p w14:paraId="10D3D013" w14:textId="4DC19205" w:rsidR="00DD6B68" w:rsidRDefault="00DD6B68" w:rsidP="00DD6B68">
      <w:pPr>
        <w:pStyle w:val="ListParagraph"/>
        <w:numPr>
          <w:ilvl w:val="0"/>
          <w:numId w:val="10"/>
        </w:numPr>
        <w:ind w:hanging="578"/>
      </w:pPr>
      <w:r>
        <w:t>To conduct Marriage and Civil Partnership ceremonies either at the Register Office or on premises approved for civil ceremonies and for those who are detained/housebound.</w:t>
      </w:r>
    </w:p>
    <w:p w14:paraId="28E21D81" w14:textId="77777777" w:rsidR="00DD6B68" w:rsidRDefault="00DD6B68" w:rsidP="00DD6B68">
      <w:pPr>
        <w:ind w:left="720" w:hanging="578"/>
      </w:pPr>
    </w:p>
    <w:p w14:paraId="0592A4F9" w14:textId="1926ECF9" w:rsidR="00DD6B68" w:rsidRDefault="00DD6B68" w:rsidP="00DD6B68">
      <w:pPr>
        <w:pStyle w:val="ListParagraph"/>
        <w:numPr>
          <w:ilvl w:val="0"/>
          <w:numId w:val="10"/>
        </w:numPr>
        <w:ind w:hanging="578"/>
      </w:pPr>
      <w:r>
        <w:t>To undertake a celebrant ceremonies e.g. naming ceremonies and renewal of vows etc.</w:t>
      </w:r>
    </w:p>
    <w:p w14:paraId="65CFA664" w14:textId="77777777" w:rsidR="00DD6B68" w:rsidRDefault="00DD6B68" w:rsidP="00DD6B68">
      <w:pPr>
        <w:ind w:left="720" w:hanging="578"/>
      </w:pPr>
    </w:p>
    <w:p w14:paraId="6A2F4489" w14:textId="07504687" w:rsidR="00DD6B68" w:rsidRDefault="00DD6B68" w:rsidP="00DD6B68">
      <w:pPr>
        <w:pStyle w:val="ListParagraph"/>
        <w:numPr>
          <w:ilvl w:val="0"/>
          <w:numId w:val="10"/>
        </w:numPr>
        <w:ind w:hanging="578"/>
      </w:pPr>
      <w:r>
        <w:t>To assist in the display of Notices and issuing of Authorities i.e. Marriage/Civil Partnership.</w:t>
      </w:r>
    </w:p>
    <w:p w14:paraId="32651F6D" w14:textId="77777777" w:rsidR="00DD6B68" w:rsidRDefault="00DD6B68" w:rsidP="00DD6B68">
      <w:pPr>
        <w:ind w:left="720" w:hanging="720"/>
      </w:pPr>
    </w:p>
    <w:p w14:paraId="6C736266" w14:textId="586E4B1D" w:rsidR="00DD6B68" w:rsidRDefault="00DD6B68" w:rsidP="00DD6B68">
      <w:pPr>
        <w:pStyle w:val="ListParagraph"/>
        <w:numPr>
          <w:ilvl w:val="0"/>
          <w:numId w:val="10"/>
        </w:numPr>
        <w:ind w:hanging="578"/>
      </w:pPr>
      <w:r>
        <w:lastRenderedPageBreak/>
        <w:t xml:space="preserve">To ensure an up to date knowledge of regulations, Registration Service handbook, circulars and other instructions from GRO. </w:t>
      </w:r>
    </w:p>
    <w:p w14:paraId="2192E00A" w14:textId="77777777" w:rsidR="00DD6B68" w:rsidRDefault="00DD6B68" w:rsidP="00DD6B68">
      <w:pPr>
        <w:ind w:left="720" w:hanging="578"/>
      </w:pPr>
    </w:p>
    <w:p w14:paraId="1AA99236" w14:textId="798BC5DD" w:rsidR="00DD6B68" w:rsidRDefault="00DD6B68" w:rsidP="00DD6B68">
      <w:pPr>
        <w:pStyle w:val="ListParagraph"/>
        <w:numPr>
          <w:ilvl w:val="0"/>
          <w:numId w:val="10"/>
        </w:numPr>
        <w:ind w:hanging="578"/>
      </w:pPr>
      <w:r>
        <w:t>To ensure the appropriate security maintenance of records and stocks of forms and certificates.</w:t>
      </w:r>
    </w:p>
    <w:p w14:paraId="765AEC65" w14:textId="77777777" w:rsidR="00DD6B68" w:rsidRDefault="00DD6B68" w:rsidP="00DD6B68">
      <w:pPr>
        <w:ind w:left="720" w:hanging="578"/>
      </w:pPr>
    </w:p>
    <w:p w14:paraId="60EE7400" w14:textId="147DEB28" w:rsidR="00DD6B68" w:rsidRDefault="00DD6B68" w:rsidP="00DD6B68">
      <w:pPr>
        <w:pStyle w:val="ListParagraph"/>
        <w:numPr>
          <w:ilvl w:val="0"/>
          <w:numId w:val="10"/>
        </w:numPr>
        <w:ind w:hanging="578"/>
      </w:pPr>
      <w:r>
        <w:t>To account to the Local Authority for all statutory and non-statutory fees and income received.</w:t>
      </w:r>
    </w:p>
    <w:p w14:paraId="36E4FCF1" w14:textId="77777777" w:rsidR="00DD6B68" w:rsidRDefault="00DD6B68" w:rsidP="00DD6B68">
      <w:pPr>
        <w:ind w:left="720" w:hanging="578"/>
      </w:pPr>
    </w:p>
    <w:p w14:paraId="09C87455" w14:textId="737A0ED4" w:rsidR="00DD6B68" w:rsidRDefault="00DD6B68" w:rsidP="00DD6B68">
      <w:pPr>
        <w:pStyle w:val="ListParagraph"/>
        <w:numPr>
          <w:ilvl w:val="0"/>
          <w:numId w:val="10"/>
        </w:numPr>
        <w:ind w:hanging="578"/>
      </w:pPr>
      <w:r>
        <w:t xml:space="preserve">To assist the team leader to manage the coordination of ceremonies for the county of Durham so that high quality, customer focussed services are provided at a cost the Council can afford in line with statutory guidance. </w:t>
      </w:r>
    </w:p>
    <w:p w14:paraId="6A239EFE" w14:textId="77777777" w:rsidR="00DD6B68" w:rsidRDefault="00DD6B68" w:rsidP="00DD6B68">
      <w:pPr>
        <w:ind w:left="720" w:hanging="578"/>
      </w:pPr>
    </w:p>
    <w:p w14:paraId="7397665D" w14:textId="6D2D89BE" w:rsidR="00DD6B68" w:rsidRDefault="00DD6B68" w:rsidP="00DD6B68">
      <w:pPr>
        <w:pStyle w:val="ListParagraph"/>
        <w:numPr>
          <w:ilvl w:val="0"/>
          <w:numId w:val="10"/>
        </w:numPr>
        <w:ind w:hanging="578"/>
      </w:pPr>
      <w:r>
        <w:t>To participate in training activities to aid personal development and in accordance with the aims and objectives of the Service.</w:t>
      </w:r>
    </w:p>
    <w:p w14:paraId="123EF3CD" w14:textId="77777777" w:rsidR="00DD6B68" w:rsidRDefault="00DD6B68" w:rsidP="00DD6B68">
      <w:pPr>
        <w:ind w:left="720" w:hanging="578"/>
      </w:pPr>
    </w:p>
    <w:p w14:paraId="141BB640" w14:textId="7E7B8656" w:rsidR="00DD6B68" w:rsidRDefault="00DD6B68" w:rsidP="00DD6B68">
      <w:pPr>
        <w:pStyle w:val="ListParagraph"/>
        <w:numPr>
          <w:ilvl w:val="0"/>
          <w:numId w:val="10"/>
        </w:numPr>
        <w:ind w:hanging="578"/>
      </w:pPr>
      <w:r>
        <w:t>To participate in individual annual technical inspections to ensure compliance with the statutory requirements of the Service.</w:t>
      </w:r>
    </w:p>
    <w:p w14:paraId="062B6043" w14:textId="77777777" w:rsidR="00DD6B68" w:rsidRDefault="00DD6B68" w:rsidP="00DD6B68">
      <w:pPr>
        <w:ind w:left="720" w:hanging="578"/>
      </w:pPr>
    </w:p>
    <w:p w14:paraId="4918A7DB" w14:textId="3E063609" w:rsidR="00DD6B68" w:rsidRDefault="00DD6B68" w:rsidP="00DD6B68">
      <w:pPr>
        <w:pStyle w:val="ListParagraph"/>
        <w:numPr>
          <w:ilvl w:val="0"/>
          <w:numId w:val="10"/>
        </w:numPr>
        <w:ind w:hanging="578"/>
      </w:pPr>
      <w:r>
        <w:t>To contribute to the continued development of the Registration Service in response to service users and local and national initiatives.</w:t>
      </w:r>
    </w:p>
    <w:p w14:paraId="51EC5B44" w14:textId="77777777" w:rsidR="00DD6B68" w:rsidRDefault="00DD6B68" w:rsidP="00DD6B68">
      <w:pPr>
        <w:ind w:left="720" w:hanging="578"/>
      </w:pPr>
    </w:p>
    <w:p w14:paraId="73763051" w14:textId="0A2DF410" w:rsidR="00DD6B68" w:rsidRDefault="00DD6B68" w:rsidP="00DD6B68">
      <w:pPr>
        <w:pStyle w:val="ListParagraph"/>
        <w:numPr>
          <w:ilvl w:val="0"/>
          <w:numId w:val="10"/>
        </w:numPr>
        <w:ind w:hanging="578"/>
      </w:pPr>
      <w:r>
        <w:t>To take part in the rota arrangements which apply for weekend and public holiday working and to undertake the full range of ceremonies, in particular weddings and civil partnerships, as part of that rota.</w:t>
      </w:r>
    </w:p>
    <w:p w14:paraId="182893DB" w14:textId="77777777" w:rsidR="00DD6B68" w:rsidRDefault="00DD6B68" w:rsidP="00DD6B68">
      <w:pPr>
        <w:ind w:left="720" w:hanging="720"/>
      </w:pPr>
    </w:p>
    <w:p w14:paraId="44A85C73" w14:textId="77777777" w:rsidR="00DD6B68" w:rsidRDefault="00DD6B68" w:rsidP="00DD6B68">
      <w:pPr>
        <w:ind w:left="720" w:hanging="720"/>
      </w:pPr>
      <w:r>
        <w:t xml:space="preserve">The above is not exhaustive and the post holder will be expected to undertake any duties which </w:t>
      </w:r>
    </w:p>
    <w:p w14:paraId="45EA4973" w14:textId="77777777" w:rsidR="00DD6B68" w:rsidRDefault="00DD6B68" w:rsidP="00DD6B68">
      <w:pPr>
        <w:ind w:left="720" w:hanging="720"/>
      </w:pPr>
      <w:r>
        <w:t xml:space="preserve">may reasonably fall within the level of responsibility and the competence of the post as directed by </w:t>
      </w:r>
    </w:p>
    <w:p w14:paraId="67BCF8EB" w14:textId="09EF8C69" w:rsidR="00DD6B68" w:rsidRDefault="00DD6B68" w:rsidP="00DD6B68">
      <w:pPr>
        <w:ind w:left="720" w:hanging="720"/>
      </w:pPr>
      <w:r>
        <w:t>the Head of Service and Democratic Services Manager.</w:t>
      </w:r>
    </w:p>
    <w:p w14:paraId="1969DF26" w14:textId="7381CF66" w:rsidR="004955DA" w:rsidRDefault="004955DA" w:rsidP="00ED4BE4">
      <w:pPr>
        <w:ind w:left="720" w:hanging="720"/>
      </w:pPr>
    </w:p>
    <w:p w14:paraId="06DFDC83" w14:textId="551B42B7" w:rsidR="000128F7" w:rsidRDefault="000128F7" w:rsidP="000128F7">
      <w:pPr>
        <w:tabs>
          <w:tab w:val="left" w:pos="1800"/>
          <w:tab w:val="left" w:pos="2520"/>
          <w:tab w:val="left" w:pos="3240"/>
          <w:tab w:val="left" w:pos="3960"/>
          <w:tab w:val="left" w:pos="4680"/>
          <w:tab w:val="left" w:pos="5400"/>
          <w:tab w:val="left" w:pos="6120"/>
          <w:tab w:val="left" w:pos="6840"/>
          <w:tab w:val="left" w:pos="7560"/>
          <w:tab w:val="left" w:pos="8280"/>
        </w:tabs>
        <w:rPr>
          <w:rFonts w:cs="Arial"/>
          <w:sz w:val="22"/>
        </w:rPr>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Communication</w:t>
      </w:r>
    </w:p>
    <w:p w14:paraId="31149E33" w14:textId="127F8276" w:rsidR="009941C6" w:rsidRPr="008626B8" w:rsidRDefault="00681A84" w:rsidP="008626B8">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526DD">
      <w:pPr>
        <w:pStyle w:val="ListParagraph"/>
        <w:numPr>
          <w:ilvl w:val="0"/>
          <w:numId w:val="2"/>
        </w:numPr>
        <w:ind w:left="567" w:hanging="425"/>
        <w:rPr>
          <w:rFonts w:cs="Arial"/>
          <w:b/>
          <w:szCs w:val="24"/>
        </w:rPr>
      </w:pPr>
      <w:bookmarkStart w:id="0"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0"/>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526DD">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To contribute to our corporate responsibility in relation to climate change by considering and limiting the carbon impact of activities during the course of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526DD">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lastRenderedPageBreak/>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253B79">
        <w:trPr>
          <w:trHeight w:val="1540"/>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ED4BE4">
            <w:pPr>
              <w:rPr>
                <w:noProof/>
                <w:lang w:eastAsia="en-GB"/>
              </w:rPr>
            </w:pPr>
          </w:p>
          <w:p w14:paraId="6CFF7549" w14:textId="36D6F838" w:rsidR="003B6969" w:rsidRPr="00700B76" w:rsidRDefault="00253B79" w:rsidP="00253B79">
            <w:pPr>
              <w:pStyle w:val="ListParagraph"/>
              <w:numPr>
                <w:ilvl w:val="0"/>
                <w:numId w:val="2"/>
              </w:numPr>
              <w:rPr>
                <w:noProof/>
                <w:lang w:eastAsia="en-GB"/>
              </w:rPr>
            </w:pPr>
            <w:r w:rsidRPr="00253B79">
              <w:rPr>
                <w:noProof/>
                <w:lang w:eastAsia="en-GB"/>
              </w:rPr>
              <w:t>Qualified to NVQ Level 3 or equivalent standard or be able to demonstrate possession of practical knowledge or experience of an equivalent higher standard.</w:t>
            </w:r>
          </w:p>
        </w:tc>
        <w:tc>
          <w:tcPr>
            <w:tcW w:w="4957" w:type="dxa"/>
          </w:tcPr>
          <w:p w14:paraId="5DB59464" w14:textId="77777777" w:rsidR="00700B76" w:rsidRDefault="00700B76" w:rsidP="00ED4BE4">
            <w:pPr>
              <w:rPr>
                <w:noProof/>
                <w:lang w:eastAsia="en-GB"/>
              </w:rPr>
            </w:pPr>
          </w:p>
          <w:p w14:paraId="10BD68E3" w14:textId="77777777" w:rsidR="00253B79" w:rsidRDefault="00253B79" w:rsidP="00253B79">
            <w:pPr>
              <w:pStyle w:val="ListParagraph"/>
              <w:numPr>
                <w:ilvl w:val="0"/>
                <w:numId w:val="2"/>
              </w:numPr>
              <w:rPr>
                <w:noProof/>
                <w:lang w:eastAsia="en-GB"/>
              </w:rPr>
            </w:pPr>
            <w:r>
              <w:rPr>
                <w:noProof/>
                <w:lang w:eastAsia="en-GB"/>
              </w:rPr>
              <w:t>HNC or similar qualification.</w:t>
            </w:r>
          </w:p>
          <w:p w14:paraId="4D6D817A" w14:textId="77777777" w:rsidR="00253B79" w:rsidRDefault="00253B79" w:rsidP="00253B79">
            <w:pPr>
              <w:rPr>
                <w:noProof/>
                <w:lang w:eastAsia="en-GB"/>
              </w:rPr>
            </w:pPr>
          </w:p>
          <w:p w14:paraId="7521A968" w14:textId="7D0CFF91" w:rsidR="003B6969" w:rsidRPr="00700B76" w:rsidRDefault="00253B79" w:rsidP="00253B79">
            <w:pPr>
              <w:pStyle w:val="ListParagraph"/>
              <w:numPr>
                <w:ilvl w:val="0"/>
                <w:numId w:val="2"/>
              </w:numPr>
              <w:rPr>
                <w:noProof/>
                <w:lang w:eastAsia="en-GB"/>
              </w:rPr>
            </w:pPr>
            <w:r>
              <w:rPr>
                <w:noProof/>
                <w:lang w:eastAsia="en-GB"/>
              </w:rPr>
              <w:t>Possession of Registrar General’s certificate of competency.</w:t>
            </w:r>
          </w:p>
        </w:tc>
      </w:tr>
      <w:tr w:rsidR="009941C6" w14:paraId="34FBA4F4" w14:textId="77777777" w:rsidTr="00253B79">
        <w:trPr>
          <w:trHeight w:val="1251"/>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2852810C" w14:textId="77777777" w:rsidR="009941C6" w:rsidRDefault="009941C6" w:rsidP="00ED4BE4">
            <w:pPr>
              <w:rPr>
                <w:noProof/>
                <w:lang w:eastAsia="en-GB"/>
              </w:rPr>
            </w:pPr>
          </w:p>
          <w:p w14:paraId="0D8B1B05" w14:textId="24DD8E2F" w:rsidR="003B6969" w:rsidRPr="00700B76" w:rsidRDefault="00253B79" w:rsidP="00253B79">
            <w:pPr>
              <w:pStyle w:val="ListParagraph"/>
              <w:numPr>
                <w:ilvl w:val="0"/>
                <w:numId w:val="2"/>
              </w:numPr>
              <w:rPr>
                <w:noProof/>
                <w:lang w:eastAsia="en-GB"/>
              </w:rPr>
            </w:pPr>
            <w:r>
              <w:rPr>
                <w:noProof/>
                <w:lang w:eastAsia="en-GB"/>
              </w:rPr>
              <w:t>Experience of working within the Registration Services</w:t>
            </w:r>
          </w:p>
        </w:tc>
        <w:tc>
          <w:tcPr>
            <w:tcW w:w="4957" w:type="dxa"/>
          </w:tcPr>
          <w:p w14:paraId="28135726" w14:textId="77777777" w:rsidR="00253B79" w:rsidRDefault="00253B79" w:rsidP="00ED4BE4">
            <w:pPr>
              <w:rPr>
                <w:lang w:eastAsia="en-GB"/>
              </w:rPr>
            </w:pPr>
          </w:p>
          <w:p w14:paraId="696A7AF3" w14:textId="1CEF6C1D" w:rsidR="003B6969" w:rsidRPr="00700B76" w:rsidRDefault="00253B79" w:rsidP="00253B79">
            <w:pPr>
              <w:pStyle w:val="ListParagraph"/>
              <w:numPr>
                <w:ilvl w:val="0"/>
                <w:numId w:val="2"/>
              </w:numPr>
              <w:rPr>
                <w:lang w:eastAsia="en-GB"/>
              </w:rPr>
            </w:pPr>
            <w:r w:rsidRPr="00253B79">
              <w:rPr>
                <w:lang w:eastAsia="en-GB"/>
              </w:rPr>
              <w:t>Practical experience of registering births, deaths, marriages, civil partnerships and the delivery of celebratory ceremonies.</w:t>
            </w: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00BDB98B" w14:textId="77777777" w:rsidR="00253B79" w:rsidRDefault="00253B79" w:rsidP="00253B79">
            <w:pPr>
              <w:rPr>
                <w:noProof/>
                <w:lang w:eastAsia="en-GB"/>
              </w:rPr>
            </w:pPr>
          </w:p>
          <w:p w14:paraId="29851859" w14:textId="265A4965" w:rsidR="00253B79" w:rsidRDefault="00253B79" w:rsidP="00253B79">
            <w:pPr>
              <w:pStyle w:val="ListParagraph"/>
              <w:numPr>
                <w:ilvl w:val="0"/>
                <w:numId w:val="11"/>
              </w:numPr>
              <w:ind w:left="341" w:hanging="283"/>
              <w:rPr>
                <w:noProof/>
                <w:lang w:eastAsia="en-GB"/>
              </w:rPr>
            </w:pPr>
            <w:r>
              <w:rPr>
                <w:noProof/>
                <w:lang w:eastAsia="en-GB"/>
              </w:rPr>
              <w:t>Ability to understand and apply regulations and instructions.</w:t>
            </w:r>
          </w:p>
          <w:p w14:paraId="16A4A310" w14:textId="431992F7" w:rsidR="00253B79" w:rsidRDefault="00253B79" w:rsidP="00253B79">
            <w:pPr>
              <w:pStyle w:val="ListParagraph"/>
              <w:numPr>
                <w:ilvl w:val="0"/>
                <w:numId w:val="11"/>
              </w:numPr>
              <w:ind w:left="341" w:hanging="283"/>
              <w:rPr>
                <w:noProof/>
                <w:lang w:eastAsia="en-GB"/>
              </w:rPr>
            </w:pPr>
            <w:r>
              <w:rPr>
                <w:noProof/>
                <w:lang w:eastAsia="en-GB"/>
              </w:rPr>
              <w:t>Awareness of the Registration Service functions and responsibilities.</w:t>
            </w:r>
          </w:p>
          <w:p w14:paraId="1E077701" w14:textId="3DC254E2" w:rsidR="00253B79" w:rsidRDefault="00253B79" w:rsidP="00253B79">
            <w:pPr>
              <w:pStyle w:val="ListParagraph"/>
              <w:numPr>
                <w:ilvl w:val="0"/>
                <w:numId w:val="11"/>
              </w:numPr>
              <w:ind w:left="341" w:hanging="283"/>
              <w:rPr>
                <w:noProof/>
                <w:lang w:eastAsia="en-GB"/>
              </w:rPr>
            </w:pPr>
            <w:r>
              <w:rPr>
                <w:noProof/>
                <w:lang w:eastAsia="en-GB"/>
              </w:rPr>
              <w:t>Demonstrate good communication skills.</w:t>
            </w:r>
          </w:p>
          <w:p w14:paraId="1F6D2FAA" w14:textId="77777777" w:rsidR="00253B79" w:rsidRDefault="00253B79" w:rsidP="00253B79">
            <w:pPr>
              <w:pStyle w:val="ListParagraph"/>
              <w:numPr>
                <w:ilvl w:val="0"/>
                <w:numId w:val="11"/>
              </w:numPr>
              <w:ind w:left="341" w:hanging="283"/>
              <w:rPr>
                <w:noProof/>
                <w:lang w:eastAsia="en-GB"/>
              </w:rPr>
            </w:pPr>
            <w:r>
              <w:rPr>
                <w:noProof/>
                <w:lang w:eastAsia="en-GB"/>
              </w:rPr>
              <w:t>Good public speaking and/or presentational skills.</w:t>
            </w:r>
          </w:p>
          <w:p w14:paraId="41067EA4" w14:textId="7FB759E0" w:rsidR="003B6969" w:rsidRPr="00700B76" w:rsidRDefault="003B6969" w:rsidP="00ED4BE4">
            <w:pPr>
              <w:rPr>
                <w:noProof/>
                <w:lang w:eastAsia="en-GB"/>
              </w:rPr>
            </w:pPr>
          </w:p>
        </w:tc>
        <w:tc>
          <w:tcPr>
            <w:tcW w:w="4957" w:type="dxa"/>
          </w:tcPr>
          <w:p w14:paraId="6474279D" w14:textId="77777777" w:rsidR="00700B76" w:rsidRDefault="00700B76" w:rsidP="00ED4BE4">
            <w:pPr>
              <w:rPr>
                <w:noProof/>
                <w:lang w:eastAsia="en-GB"/>
              </w:rPr>
            </w:pPr>
          </w:p>
          <w:p w14:paraId="0098F231" w14:textId="2EA43CD8" w:rsidR="00253B79" w:rsidRDefault="00253B79" w:rsidP="00253B79">
            <w:pPr>
              <w:pStyle w:val="ListParagraph"/>
              <w:numPr>
                <w:ilvl w:val="0"/>
                <w:numId w:val="11"/>
              </w:numPr>
              <w:ind w:left="308" w:hanging="283"/>
              <w:rPr>
                <w:noProof/>
                <w:lang w:eastAsia="en-GB"/>
              </w:rPr>
            </w:pPr>
            <w:r>
              <w:rPr>
                <w:noProof/>
                <w:lang w:eastAsia="en-GB"/>
              </w:rPr>
              <w:t>Knowledge of the National Strategy regarding the modernisation of the Service.</w:t>
            </w:r>
          </w:p>
          <w:p w14:paraId="59D8DAD3" w14:textId="13B64433" w:rsidR="00253B79" w:rsidRDefault="00253B79" w:rsidP="00253B79">
            <w:pPr>
              <w:pStyle w:val="ListParagraph"/>
              <w:numPr>
                <w:ilvl w:val="0"/>
                <w:numId w:val="11"/>
              </w:numPr>
              <w:ind w:left="308" w:hanging="283"/>
              <w:rPr>
                <w:noProof/>
                <w:lang w:eastAsia="en-GB"/>
              </w:rPr>
            </w:pPr>
            <w:r>
              <w:rPr>
                <w:noProof/>
                <w:lang w:eastAsia="en-GB"/>
              </w:rPr>
              <w:t>Customer care awareness/training.</w:t>
            </w:r>
          </w:p>
          <w:p w14:paraId="3D434EDD" w14:textId="77777777" w:rsidR="009526DD" w:rsidRDefault="00253B79" w:rsidP="00253B79">
            <w:pPr>
              <w:pStyle w:val="ListParagraph"/>
              <w:numPr>
                <w:ilvl w:val="0"/>
                <w:numId w:val="11"/>
              </w:numPr>
              <w:ind w:left="308" w:hanging="283"/>
              <w:rPr>
                <w:noProof/>
                <w:lang w:eastAsia="en-GB"/>
              </w:rPr>
            </w:pPr>
            <w:r>
              <w:rPr>
                <w:noProof/>
                <w:lang w:eastAsia="en-GB"/>
              </w:rPr>
              <w:t>Knowledge of ICT including any software in relation to the Registration Service.</w:t>
            </w:r>
          </w:p>
          <w:p w14:paraId="61E29774" w14:textId="52630F00" w:rsidR="00253B79" w:rsidRPr="003B6969" w:rsidRDefault="00253B79" w:rsidP="00253B79">
            <w:pPr>
              <w:pStyle w:val="ListParagraph"/>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1A0CBABC" w14:textId="77777777" w:rsidR="00700B76" w:rsidRDefault="00700B76" w:rsidP="00ED4BE4">
            <w:pPr>
              <w:rPr>
                <w:noProof/>
                <w:lang w:eastAsia="en-GB"/>
              </w:rPr>
            </w:pPr>
          </w:p>
          <w:p w14:paraId="4914A159" w14:textId="39AE8E93" w:rsidR="00253B79" w:rsidRDefault="00253B79" w:rsidP="00253B79">
            <w:pPr>
              <w:pStyle w:val="ListParagraph"/>
              <w:numPr>
                <w:ilvl w:val="0"/>
                <w:numId w:val="12"/>
              </w:numPr>
              <w:ind w:left="341" w:hanging="283"/>
              <w:rPr>
                <w:noProof/>
                <w:lang w:eastAsia="en-GB"/>
              </w:rPr>
            </w:pPr>
            <w:r>
              <w:rPr>
                <w:noProof/>
                <w:lang w:eastAsia="en-GB"/>
              </w:rPr>
              <w:t>Ability to work with the public dealing with sensitive issues.</w:t>
            </w:r>
          </w:p>
          <w:p w14:paraId="104513FD" w14:textId="21AFB457" w:rsidR="00253B79" w:rsidRDefault="00253B79" w:rsidP="00253B79">
            <w:pPr>
              <w:pStyle w:val="ListParagraph"/>
              <w:numPr>
                <w:ilvl w:val="0"/>
                <w:numId w:val="12"/>
              </w:numPr>
              <w:ind w:left="341" w:hanging="283"/>
              <w:rPr>
                <w:noProof/>
                <w:lang w:eastAsia="en-GB"/>
              </w:rPr>
            </w:pPr>
            <w:r>
              <w:rPr>
                <w:noProof/>
                <w:lang w:eastAsia="en-GB"/>
              </w:rPr>
              <w:t>Ability to analyse different situations and formulate appropriate response.</w:t>
            </w:r>
          </w:p>
          <w:p w14:paraId="74430249" w14:textId="5F06A982" w:rsidR="00253B79" w:rsidRDefault="00253B79" w:rsidP="00253B79">
            <w:pPr>
              <w:pStyle w:val="ListParagraph"/>
              <w:numPr>
                <w:ilvl w:val="0"/>
                <w:numId w:val="12"/>
              </w:numPr>
              <w:ind w:left="341" w:hanging="283"/>
              <w:rPr>
                <w:noProof/>
                <w:lang w:eastAsia="en-GB"/>
              </w:rPr>
            </w:pPr>
            <w:r>
              <w:rPr>
                <w:noProof/>
                <w:lang w:eastAsia="en-GB"/>
              </w:rPr>
              <w:t>Ability to prioritise tasks.</w:t>
            </w:r>
          </w:p>
          <w:p w14:paraId="3F2F915A" w14:textId="0CDD4708" w:rsidR="00253B79" w:rsidRDefault="00253B79" w:rsidP="00253B79">
            <w:pPr>
              <w:pStyle w:val="ListParagraph"/>
              <w:numPr>
                <w:ilvl w:val="0"/>
                <w:numId w:val="12"/>
              </w:numPr>
              <w:ind w:left="341" w:hanging="283"/>
              <w:rPr>
                <w:noProof/>
                <w:lang w:eastAsia="en-GB"/>
              </w:rPr>
            </w:pPr>
            <w:r>
              <w:rPr>
                <w:noProof/>
                <w:lang w:eastAsia="en-GB"/>
              </w:rPr>
              <w:t>Team worker.</w:t>
            </w:r>
          </w:p>
          <w:p w14:paraId="44D6DC36" w14:textId="57F46102" w:rsidR="00253B79" w:rsidRDefault="00253B79" w:rsidP="00253B79">
            <w:pPr>
              <w:pStyle w:val="ListParagraph"/>
              <w:numPr>
                <w:ilvl w:val="0"/>
                <w:numId w:val="12"/>
              </w:numPr>
              <w:ind w:left="341" w:hanging="283"/>
              <w:rPr>
                <w:noProof/>
                <w:lang w:eastAsia="en-GB"/>
              </w:rPr>
            </w:pPr>
            <w:r>
              <w:rPr>
                <w:noProof/>
                <w:lang w:eastAsia="en-GB"/>
              </w:rPr>
              <w:t>Ability to use initiative.</w:t>
            </w:r>
          </w:p>
          <w:p w14:paraId="5D42D2D3" w14:textId="4EA3E0EA" w:rsidR="00253B79" w:rsidRDefault="00253B79" w:rsidP="00253B79">
            <w:pPr>
              <w:pStyle w:val="ListParagraph"/>
              <w:numPr>
                <w:ilvl w:val="0"/>
                <w:numId w:val="12"/>
              </w:numPr>
              <w:ind w:left="341" w:hanging="283"/>
              <w:rPr>
                <w:noProof/>
                <w:lang w:eastAsia="en-GB"/>
              </w:rPr>
            </w:pPr>
            <w:r>
              <w:rPr>
                <w:noProof/>
                <w:lang w:eastAsia="en-GB"/>
              </w:rPr>
              <w:t>Access to a car or means of mobility support (if driving then must have a current valid driving licence and appropriate insurance).</w:t>
            </w:r>
          </w:p>
          <w:p w14:paraId="5084255A" w14:textId="59152A95" w:rsidR="00253B79" w:rsidRDefault="00253B79" w:rsidP="00253B79">
            <w:pPr>
              <w:pStyle w:val="ListParagraph"/>
              <w:numPr>
                <w:ilvl w:val="0"/>
                <w:numId w:val="12"/>
              </w:numPr>
              <w:ind w:left="341" w:hanging="283"/>
              <w:rPr>
                <w:noProof/>
                <w:lang w:eastAsia="en-GB"/>
              </w:rPr>
            </w:pPr>
            <w:r>
              <w:rPr>
                <w:noProof/>
                <w:lang w:eastAsia="en-GB"/>
              </w:rPr>
              <w:t>Prepared to work outside of normal office hours – flexible and adaptable to work demands.</w:t>
            </w:r>
          </w:p>
          <w:p w14:paraId="7899DADD" w14:textId="77777777" w:rsidR="00253B79" w:rsidRDefault="00253B79" w:rsidP="00253B79">
            <w:pPr>
              <w:pStyle w:val="ListParagraph"/>
              <w:numPr>
                <w:ilvl w:val="0"/>
                <w:numId w:val="12"/>
              </w:numPr>
              <w:ind w:left="341" w:hanging="283"/>
              <w:rPr>
                <w:noProof/>
                <w:lang w:eastAsia="en-GB"/>
              </w:rPr>
            </w:pPr>
            <w:r>
              <w:rPr>
                <w:noProof/>
                <w:lang w:eastAsia="en-GB"/>
              </w:rPr>
              <w:t>Will be required to take part in the rota arrangements which apply for weekend and public holiday working and undertake the full range of ceremonies, in particular weddings and civil partnerships, as part of that rota.</w:t>
            </w:r>
          </w:p>
          <w:p w14:paraId="69ADC98F" w14:textId="5720A2A7" w:rsidR="003B6969" w:rsidRPr="00700B76" w:rsidRDefault="003B6969" w:rsidP="00ED4BE4">
            <w:pPr>
              <w:rPr>
                <w:noProof/>
                <w:lang w:eastAsia="en-GB"/>
              </w:rPr>
            </w:pPr>
          </w:p>
        </w:tc>
        <w:tc>
          <w:tcPr>
            <w:tcW w:w="4957" w:type="dxa"/>
          </w:tcPr>
          <w:p w14:paraId="2B56349E" w14:textId="77777777" w:rsidR="00700B76" w:rsidRPr="00ED4BE4" w:rsidRDefault="00700B76" w:rsidP="00ED4BE4">
            <w:pPr>
              <w:rPr>
                <w:bCs/>
                <w:noProof/>
                <w:lang w:eastAsia="en-GB"/>
              </w:rPr>
            </w:pPr>
          </w:p>
          <w:p w14:paraId="50AF3D14" w14:textId="75647E82" w:rsidR="003B6969" w:rsidRPr="00700B76" w:rsidRDefault="003B6969" w:rsidP="00ED4BE4">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210B" w14:textId="77777777" w:rsidR="00636181" w:rsidRDefault="00636181" w:rsidP="0077606C">
      <w:r>
        <w:separator/>
      </w:r>
    </w:p>
  </w:endnote>
  <w:endnote w:type="continuationSeparator" w:id="0">
    <w:p w14:paraId="5F702B7A" w14:textId="77777777" w:rsidR="00636181" w:rsidRDefault="0063618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6E5C6" w14:textId="77777777" w:rsidR="00636181" w:rsidRDefault="00636181" w:rsidP="0077606C">
      <w:r>
        <w:separator/>
      </w:r>
    </w:p>
  </w:footnote>
  <w:footnote w:type="continuationSeparator" w:id="0">
    <w:p w14:paraId="043069B1" w14:textId="77777777" w:rsidR="00636181" w:rsidRDefault="0063618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C4BAA"/>
    <w:multiLevelType w:val="hybridMultilevel"/>
    <w:tmpl w:val="3FF04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831F11"/>
    <w:multiLevelType w:val="hybridMultilevel"/>
    <w:tmpl w:val="09A8D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1E3CEC"/>
    <w:multiLevelType w:val="hybridMultilevel"/>
    <w:tmpl w:val="DEA06094"/>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E086151"/>
    <w:multiLevelType w:val="hybridMultilevel"/>
    <w:tmpl w:val="EDD0FA8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cs="Wingdings" w:hint="default"/>
      </w:rPr>
    </w:lvl>
    <w:lvl w:ilvl="3" w:tplc="08090001">
      <w:start w:val="1"/>
      <w:numFmt w:val="bullet"/>
      <w:lvlText w:val=""/>
      <w:lvlJc w:val="left"/>
      <w:pPr>
        <w:tabs>
          <w:tab w:val="num" w:pos="2520"/>
        </w:tabs>
        <w:ind w:left="2520" w:hanging="360"/>
      </w:pPr>
      <w:rPr>
        <w:rFonts w:ascii="Symbol" w:hAnsi="Symbol" w:cs="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cs="Wingdings" w:hint="default"/>
      </w:rPr>
    </w:lvl>
    <w:lvl w:ilvl="6" w:tplc="08090001">
      <w:start w:val="1"/>
      <w:numFmt w:val="bullet"/>
      <w:lvlText w:val=""/>
      <w:lvlJc w:val="left"/>
      <w:pPr>
        <w:tabs>
          <w:tab w:val="num" w:pos="4680"/>
        </w:tabs>
        <w:ind w:left="4680" w:hanging="360"/>
      </w:pPr>
      <w:rPr>
        <w:rFonts w:ascii="Symbol" w:hAnsi="Symbol" w:cs="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1EEB4EE6"/>
    <w:multiLevelType w:val="hybridMultilevel"/>
    <w:tmpl w:val="9A285D9E"/>
    <w:lvl w:ilvl="0" w:tplc="08090001">
      <w:start w:val="1"/>
      <w:numFmt w:val="bullet"/>
      <w:lvlText w:val=""/>
      <w:lvlJc w:val="left"/>
      <w:pPr>
        <w:tabs>
          <w:tab w:val="num" w:pos="2160"/>
        </w:tabs>
        <w:ind w:left="2160" w:hanging="360"/>
      </w:pPr>
      <w:rPr>
        <w:rFonts w:ascii="Symbol" w:hAnsi="Symbol" w:hint="default"/>
      </w:rPr>
    </w:lvl>
    <w:lvl w:ilvl="1" w:tplc="08090003" w:tentative="1">
      <w:start w:val="1"/>
      <w:numFmt w:val="bullet"/>
      <w:lvlText w:val="o"/>
      <w:lvlJc w:val="left"/>
      <w:pPr>
        <w:tabs>
          <w:tab w:val="num" w:pos="2880"/>
        </w:tabs>
        <w:ind w:left="2880" w:hanging="360"/>
      </w:pPr>
      <w:rPr>
        <w:rFonts w:ascii="Courier New" w:hAnsi="Courier New" w:cs="Courier New" w:hint="default"/>
      </w:rPr>
    </w:lvl>
    <w:lvl w:ilvl="2" w:tplc="08090005" w:tentative="1">
      <w:start w:val="1"/>
      <w:numFmt w:val="bullet"/>
      <w:lvlText w:val=""/>
      <w:lvlJc w:val="left"/>
      <w:pPr>
        <w:tabs>
          <w:tab w:val="num" w:pos="3600"/>
        </w:tabs>
        <w:ind w:left="3600" w:hanging="360"/>
      </w:pPr>
      <w:rPr>
        <w:rFonts w:ascii="Wingdings" w:hAnsi="Wingdings" w:hint="default"/>
      </w:rPr>
    </w:lvl>
    <w:lvl w:ilvl="3" w:tplc="08090001" w:tentative="1">
      <w:start w:val="1"/>
      <w:numFmt w:val="bullet"/>
      <w:lvlText w:val=""/>
      <w:lvlJc w:val="left"/>
      <w:pPr>
        <w:tabs>
          <w:tab w:val="num" w:pos="4320"/>
        </w:tabs>
        <w:ind w:left="4320" w:hanging="360"/>
      </w:pPr>
      <w:rPr>
        <w:rFonts w:ascii="Symbol" w:hAnsi="Symbol" w:hint="default"/>
      </w:rPr>
    </w:lvl>
    <w:lvl w:ilvl="4" w:tplc="08090003" w:tentative="1">
      <w:start w:val="1"/>
      <w:numFmt w:val="bullet"/>
      <w:lvlText w:val="o"/>
      <w:lvlJc w:val="left"/>
      <w:pPr>
        <w:tabs>
          <w:tab w:val="num" w:pos="5040"/>
        </w:tabs>
        <w:ind w:left="5040" w:hanging="360"/>
      </w:pPr>
      <w:rPr>
        <w:rFonts w:ascii="Courier New" w:hAnsi="Courier New" w:cs="Courier New" w:hint="default"/>
      </w:rPr>
    </w:lvl>
    <w:lvl w:ilvl="5" w:tplc="08090005" w:tentative="1">
      <w:start w:val="1"/>
      <w:numFmt w:val="bullet"/>
      <w:lvlText w:val=""/>
      <w:lvlJc w:val="left"/>
      <w:pPr>
        <w:tabs>
          <w:tab w:val="num" w:pos="5760"/>
        </w:tabs>
        <w:ind w:left="5760" w:hanging="360"/>
      </w:pPr>
      <w:rPr>
        <w:rFonts w:ascii="Wingdings" w:hAnsi="Wingdings" w:hint="default"/>
      </w:rPr>
    </w:lvl>
    <w:lvl w:ilvl="6" w:tplc="08090001" w:tentative="1">
      <w:start w:val="1"/>
      <w:numFmt w:val="bullet"/>
      <w:lvlText w:val=""/>
      <w:lvlJc w:val="left"/>
      <w:pPr>
        <w:tabs>
          <w:tab w:val="num" w:pos="6480"/>
        </w:tabs>
        <w:ind w:left="6480" w:hanging="360"/>
      </w:pPr>
      <w:rPr>
        <w:rFonts w:ascii="Symbol" w:hAnsi="Symbol" w:hint="default"/>
      </w:rPr>
    </w:lvl>
    <w:lvl w:ilvl="7" w:tplc="08090003" w:tentative="1">
      <w:start w:val="1"/>
      <w:numFmt w:val="bullet"/>
      <w:lvlText w:val="o"/>
      <w:lvlJc w:val="left"/>
      <w:pPr>
        <w:tabs>
          <w:tab w:val="num" w:pos="7200"/>
        </w:tabs>
        <w:ind w:left="7200" w:hanging="360"/>
      </w:pPr>
      <w:rPr>
        <w:rFonts w:ascii="Courier New" w:hAnsi="Courier New" w:cs="Courier New" w:hint="default"/>
      </w:rPr>
    </w:lvl>
    <w:lvl w:ilvl="8" w:tplc="08090005" w:tentative="1">
      <w:start w:val="1"/>
      <w:numFmt w:val="bullet"/>
      <w:lvlText w:val=""/>
      <w:lvlJc w:val="left"/>
      <w:pPr>
        <w:tabs>
          <w:tab w:val="num" w:pos="7920"/>
        </w:tabs>
        <w:ind w:left="7920" w:hanging="360"/>
      </w:pPr>
      <w:rPr>
        <w:rFonts w:ascii="Wingdings" w:hAnsi="Wingdings" w:hint="default"/>
      </w:rPr>
    </w:lvl>
  </w:abstractNum>
  <w:abstractNum w:abstractNumId="6" w15:restartNumberingAfterBreak="0">
    <w:nsid w:val="29443E38"/>
    <w:multiLevelType w:val="hybridMultilevel"/>
    <w:tmpl w:val="50E0F5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6D3E0F"/>
    <w:multiLevelType w:val="hybridMultilevel"/>
    <w:tmpl w:val="BC84B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CE59A1"/>
    <w:multiLevelType w:val="hybridMultilevel"/>
    <w:tmpl w:val="6E122C1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77A5096"/>
    <w:multiLevelType w:val="hybridMultilevel"/>
    <w:tmpl w:val="0736F158"/>
    <w:lvl w:ilvl="0" w:tplc="08090001">
      <w:start w:val="1"/>
      <w:numFmt w:val="bullet"/>
      <w:lvlText w:val=""/>
      <w:lvlJc w:val="left"/>
      <w:pPr>
        <w:tabs>
          <w:tab w:val="num" w:pos="1460"/>
        </w:tabs>
        <w:ind w:left="14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cs="Wingdings" w:hint="default"/>
      </w:rPr>
    </w:lvl>
    <w:lvl w:ilvl="3" w:tplc="08090001">
      <w:start w:val="1"/>
      <w:numFmt w:val="bullet"/>
      <w:lvlText w:val=""/>
      <w:lvlJc w:val="left"/>
      <w:pPr>
        <w:tabs>
          <w:tab w:val="num" w:pos="3240"/>
        </w:tabs>
        <w:ind w:left="3240" w:hanging="360"/>
      </w:pPr>
      <w:rPr>
        <w:rFonts w:ascii="Symbol" w:hAnsi="Symbol" w:cs="Symbol" w:hint="default"/>
      </w:rPr>
    </w:lvl>
    <w:lvl w:ilvl="4" w:tplc="08090003">
      <w:start w:val="1"/>
      <w:numFmt w:val="bullet"/>
      <w:lvlText w:val="o"/>
      <w:lvlJc w:val="left"/>
      <w:pPr>
        <w:tabs>
          <w:tab w:val="num" w:pos="3960"/>
        </w:tabs>
        <w:ind w:left="3960" w:hanging="360"/>
      </w:pPr>
      <w:rPr>
        <w:rFonts w:ascii="Courier New" w:hAnsi="Courier New" w:cs="Courier New" w:hint="default"/>
      </w:rPr>
    </w:lvl>
    <w:lvl w:ilvl="5" w:tplc="08090005">
      <w:start w:val="1"/>
      <w:numFmt w:val="bullet"/>
      <w:lvlText w:val=""/>
      <w:lvlJc w:val="left"/>
      <w:pPr>
        <w:tabs>
          <w:tab w:val="num" w:pos="4680"/>
        </w:tabs>
        <w:ind w:left="4680" w:hanging="360"/>
      </w:pPr>
      <w:rPr>
        <w:rFonts w:ascii="Wingdings" w:hAnsi="Wingdings" w:cs="Wingdings" w:hint="default"/>
      </w:rPr>
    </w:lvl>
    <w:lvl w:ilvl="6" w:tplc="08090001">
      <w:start w:val="1"/>
      <w:numFmt w:val="bullet"/>
      <w:lvlText w:val=""/>
      <w:lvlJc w:val="left"/>
      <w:pPr>
        <w:tabs>
          <w:tab w:val="num" w:pos="5400"/>
        </w:tabs>
        <w:ind w:left="5400" w:hanging="360"/>
      </w:pPr>
      <w:rPr>
        <w:rFonts w:ascii="Symbol" w:hAnsi="Symbol" w:cs="Symbol" w:hint="default"/>
      </w:rPr>
    </w:lvl>
    <w:lvl w:ilvl="7" w:tplc="08090003">
      <w:start w:val="1"/>
      <w:numFmt w:val="bullet"/>
      <w:lvlText w:val="o"/>
      <w:lvlJc w:val="left"/>
      <w:pPr>
        <w:tabs>
          <w:tab w:val="num" w:pos="6120"/>
        </w:tabs>
        <w:ind w:left="6120" w:hanging="360"/>
      </w:pPr>
      <w:rPr>
        <w:rFonts w:ascii="Courier New" w:hAnsi="Courier New" w:cs="Courier New" w:hint="default"/>
      </w:rPr>
    </w:lvl>
    <w:lvl w:ilvl="8" w:tplc="08090005">
      <w:start w:val="1"/>
      <w:numFmt w:val="bullet"/>
      <w:lvlText w:val=""/>
      <w:lvlJc w:val="left"/>
      <w:pPr>
        <w:tabs>
          <w:tab w:val="num" w:pos="6840"/>
        </w:tabs>
        <w:ind w:left="6840" w:hanging="360"/>
      </w:pPr>
      <w:rPr>
        <w:rFonts w:ascii="Wingdings" w:hAnsi="Wingdings" w:cs="Wingdings" w:hint="default"/>
      </w:rPr>
    </w:lvl>
  </w:abstractNum>
  <w:abstractNum w:abstractNumId="10" w15:restartNumberingAfterBreak="0">
    <w:nsid w:val="5AA779D4"/>
    <w:multiLevelType w:val="hybridMultilevel"/>
    <w:tmpl w:val="1F9E45EC"/>
    <w:lvl w:ilvl="0" w:tplc="08090001">
      <w:start w:val="1"/>
      <w:numFmt w:val="bullet"/>
      <w:lvlText w:val=""/>
      <w:lvlJc w:val="left"/>
      <w:pPr>
        <w:ind w:left="740" w:hanging="360"/>
      </w:pPr>
      <w:rPr>
        <w:rFonts w:ascii="Symbol" w:hAnsi="Symbol" w:hint="default"/>
      </w:rPr>
    </w:lvl>
    <w:lvl w:ilvl="1" w:tplc="08090003" w:tentative="1">
      <w:start w:val="1"/>
      <w:numFmt w:val="bullet"/>
      <w:lvlText w:val="o"/>
      <w:lvlJc w:val="left"/>
      <w:pPr>
        <w:ind w:left="1460" w:hanging="360"/>
      </w:pPr>
      <w:rPr>
        <w:rFonts w:ascii="Courier New" w:hAnsi="Courier New" w:cs="Courier New" w:hint="default"/>
      </w:rPr>
    </w:lvl>
    <w:lvl w:ilvl="2" w:tplc="08090005" w:tentative="1">
      <w:start w:val="1"/>
      <w:numFmt w:val="bullet"/>
      <w:lvlText w:val=""/>
      <w:lvlJc w:val="left"/>
      <w:pPr>
        <w:ind w:left="2180" w:hanging="360"/>
      </w:pPr>
      <w:rPr>
        <w:rFonts w:ascii="Wingdings" w:hAnsi="Wingdings" w:hint="default"/>
      </w:rPr>
    </w:lvl>
    <w:lvl w:ilvl="3" w:tplc="08090001" w:tentative="1">
      <w:start w:val="1"/>
      <w:numFmt w:val="bullet"/>
      <w:lvlText w:val=""/>
      <w:lvlJc w:val="left"/>
      <w:pPr>
        <w:ind w:left="2900" w:hanging="360"/>
      </w:pPr>
      <w:rPr>
        <w:rFonts w:ascii="Symbol" w:hAnsi="Symbol" w:hint="default"/>
      </w:rPr>
    </w:lvl>
    <w:lvl w:ilvl="4" w:tplc="08090003" w:tentative="1">
      <w:start w:val="1"/>
      <w:numFmt w:val="bullet"/>
      <w:lvlText w:val="o"/>
      <w:lvlJc w:val="left"/>
      <w:pPr>
        <w:ind w:left="3620" w:hanging="360"/>
      </w:pPr>
      <w:rPr>
        <w:rFonts w:ascii="Courier New" w:hAnsi="Courier New" w:cs="Courier New" w:hint="default"/>
      </w:rPr>
    </w:lvl>
    <w:lvl w:ilvl="5" w:tplc="08090005" w:tentative="1">
      <w:start w:val="1"/>
      <w:numFmt w:val="bullet"/>
      <w:lvlText w:val=""/>
      <w:lvlJc w:val="left"/>
      <w:pPr>
        <w:ind w:left="4340" w:hanging="360"/>
      </w:pPr>
      <w:rPr>
        <w:rFonts w:ascii="Wingdings" w:hAnsi="Wingdings" w:hint="default"/>
      </w:rPr>
    </w:lvl>
    <w:lvl w:ilvl="6" w:tplc="08090001" w:tentative="1">
      <w:start w:val="1"/>
      <w:numFmt w:val="bullet"/>
      <w:lvlText w:val=""/>
      <w:lvlJc w:val="left"/>
      <w:pPr>
        <w:ind w:left="5060" w:hanging="360"/>
      </w:pPr>
      <w:rPr>
        <w:rFonts w:ascii="Symbol" w:hAnsi="Symbol" w:hint="default"/>
      </w:rPr>
    </w:lvl>
    <w:lvl w:ilvl="7" w:tplc="08090003" w:tentative="1">
      <w:start w:val="1"/>
      <w:numFmt w:val="bullet"/>
      <w:lvlText w:val="o"/>
      <w:lvlJc w:val="left"/>
      <w:pPr>
        <w:ind w:left="5780" w:hanging="360"/>
      </w:pPr>
      <w:rPr>
        <w:rFonts w:ascii="Courier New" w:hAnsi="Courier New" w:cs="Courier New" w:hint="default"/>
      </w:rPr>
    </w:lvl>
    <w:lvl w:ilvl="8" w:tplc="08090005" w:tentative="1">
      <w:start w:val="1"/>
      <w:numFmt w:val="bullet"/>
      <w:lvlText w:val=""/>
      <w:lvlJc w:val="left"/>
      <w:pPr>
        <w:ind w:left="6500" w:hanging="360"/>
      </w:pPr>
      <w:rPr>
        <w:rFonts w:ascii="Wingdings" w:hAnsi="Wingdings" w:hint="default"/>
      </w:rPr>
    </w:lvl>
  </w:abstractNum>
  <w:num w:numId="1">
    <w:abstractNumId w:val="3"/>
  </w:num>
  <w:num w:numId="2">
    <w:abstractNumId w:val="6"/>
  </w:num>
  <w:num w:numId="3">
    <w:abstractNumId w:val="6"/>
  </w:num>
  <w:num w:numId="4">
    <w:abstractNumId w:val="4"/>
  </w:num>
  <w:num w:numId="5">
    <w:abstractNumId w:val="9"/>
  </w:num>
  <w:num w:numId="6">
    <w:abstractNumId w:val="5"/>
  </w:num>
  <w:num w:numId="7">
    <w:abstractNumId w:val="10"/>
  </w:num>
  <w:num w:numId="8">
    <w:abstractNumId w:val="8"/>
  </w:num>
  <w:num w:numId="9">
    <w:abstractNumId w:val="2"/>
  </w:num>
  <w:num w:numId="10">
    <w:abstractNumId w:val="0"/>
  </w:num>
  <w:num w:numId="11">
    <w:abstractNumId w:val="1"/>
  </w:num>
  <w:num w:numId="12">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128F7"/>
    <w:rsid w:val="00040EE4"/>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53B79"/>
    <w:rsid w:val="002659ED"/>
    <w:rsid w:val="00272889"/>
    <w:rsid w:val="00287FE1"/>
    <w:rsid w:val="002F3062"/>
    <w:rsid w:val="003125AA"/>
    <w:rsid w:val="00314FE8"/>
    <w:rsid w:val="003213F9"/>
    <w:rsid w:val="003456B3"/>
    <w:rsid w:val="00353A9F"/>
    <w:rsid w:val="003659EE"/>
    <w:rsid w:val="00394D61"/>
    <w:rsid w:val="003B3B62"/>
    <w:rsid w:val="003B6969"/>
    <w:rsid w:val="003D16A2"/>
    <w:rsid w:val="003D217C"/>
    <w:rsid w:val="003D4EF3"/>
    <w:rsid w:val="003F5F22"/>
    <w:rsid w:val="004115C6"/>
    <w:rsid w:val="0041221D"/>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C7B57"/>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26B8"/>
    <w:rsid w:val="00863413"/>
    <w:rsid w:val="00875187"/>
    <w:rsid w:val="008864D4"/>
    <w:rsid w:val="00886C91"/>
    <w:rsid w:val="008C6D44"/>
    <w:rsid w:val="008E5D50"/>
    <w:rsid w:val="008F20BF"/>
    <w:rsid w:val="008F34B3"/>
    <w:rsid w:val="008F4BDD"/>
    <w:rsid w:val="00912182"/>
    <w:rsid w:val="00930249"/>
    <w:rsid w:val="00944CE3"/>
    <w:rsid w:val="00950EE4"/>
    <w:rsid w:val="009526DD"/>
    <w:rsid w:val="00955B9A"/>
    <w:rsid w:val="00955C8B"/>
    <w:rsid w:val="009569FA"/>
    <w:rsid w:val="00966278"/>
    <w:rsid w:val="00991A67"/>
    <w:rsid w:val="00992861"/>
    <w:rsid w:val="009941C6"/>
    <w:rsid w:val="009A0774"/>
    <w:rsid w:val="009C150C"/>
    <w:rsid w:val="009C2757"/>
    <w:rsid w:val="009C3715"/>
    <w:rsid w:val="009C73E4"/>
    <w:rsid w:val="009D5809"/>
    <w:rsid w:val="009F6BC2"/>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918FF"/>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409AA"/>
    <w:rsid w:val="00D63DC6"/>
    <w:rsid w:val="00D720CC"/>
    <w:rsid w:val="00D8718F"/>
    <w:rsid w:val="00D94B67"/>
    <w:rsid w:val="00DA7401"/>
    <w:rsid w:val="00DD6B68"/>
    <w:rsid w:val="00DE17BA"/>
    <w:rsid w:val="00DE1999"/>
    <w:rsid w:val="00DE41CE"/>
    <w:rsid w:val="00DE46D4"/>
    <w:rsid w:val="00DF49C8"/>
    <w:rsid w:val="00E017D3"/>
    <w:rsid w:val="00E078AA"/>
    <w:rsid w:val="00E25BE9"/>
    <w:rsid w:val="00E54875"/>
    <w:rsid w:val="00E54A4D"/>
    <w:rsid w:val="00E61F58"/>
    <w:rsid w:val="00E62F81"/>
    <w:rsid w:val="00E64A59"/>
    <w:rsid w:val="00E736CB"/>
    <w:rsid w:val="00E80711"/>
    <w:rsid w:val="00E872BE"/>
    <w:rsid w:val="00E962DD"/>
    <w:rsid w:val="00EB620B"/>
    <w:rsid w:val="00EC457D"/>
    <w:rsid w:val="00ED4016"/>
    <w:rsid w:val="00ED4BE4"/>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474177478">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E245EB0-B942-49B3-A2DC-38B36363CF7B}">
  <ds:schemaRefs>
    <ds:schemaRef ds:uri="http://schemas.openxmlformats.org/officeDocument/2006/bibliography"/>
  </ds:schemaRefs>
</ds:datastoreItem>
</file>

<file path=customXml/itemProps3.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4.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A7511E7E-AB7F-4094-9962-2AF28A754509}">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2</TotalTime>
  <Pages>4</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7907</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Julie Longstaff</cp:lastModifiedBy>
  <cp:revision>4</cp:revision>
  <cp:lastPrinted>2018-08-31T10:37:00Z</cp:lastPrinted>
  <dcterms:created xsi:type="dcterms:W3CDTF">2020-11-27T11:43:00Z</dcterms:created>
  <dcterms:modified xsi:type="dcterms:W3CDTF">2021-05-25T15:19:00Z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