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-179070</wp:posOffset>
            </wp:positionV>
            <wp:extent cx="790575" cy="658813"/>
            <wp:effectExtent l="0" t="0" r="0" b="8255"/>
            <wp:wrapNone/>
            <wp:docPr id="1" name="Picture 1" descr="http://www.catchgate.durham.sch.uk/images/school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chgate.durham.sch.uk/images/school%20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auto"/>
          <w:kern w:val="0"/>
          <w:sz w:val="22"/>
          <w:szCs w:val="22"/>
        </w:rPr>
        <w:t xml:space="preserve">Catchgate Community Primary School  </w:t>
      </w:r>
    </w:p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  Essential Criteria Sheet: </w:t>
      </w:r>
      <w:r>
        <w:rPr>
          <w:rFonts w:ascii="Comic Sans MS" w:hAnsi="Comic Sans MS"/>
          <w:b/>
          <w:sz w:val="22"/>
          <w:szCs w:val="22"/>
        </w:rPr>
        <w:t>Lunch Supervisor Grade 1 SCP 03</w:t>
      </w:r>
      <w:bookmarkStart w:id="0" w:name="_GoBack"/>
      <w:bookmarkEnd w:id="0"/>
    </w:p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First Aid Certificate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Food hygiene certificate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Willing to take further training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Knowledge of the duties and role of the Lunchtime Supervisor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Good communication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To be able to work under pressure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Good humour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Respect of colleagues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Good relationships with lunchtime colleagues and school staff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To be able to work as part of a team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Ability to work within the school’s policies and guidelines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Able to plan engaging and exciting activities for children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Basic understanding of child development and learning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An understanding of children with special needs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Use own initiative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Flexible approach to work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Awareness of confidentiality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Courteous and polite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Good timekeeping and good attendance record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To have integrity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Enthusiastic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To have patience and emotional resilience in working with challenging behaviours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Sensitive to the needs of children and their parents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Disclosure and Barring Service check</w:t>
            </w:r>
          </w:p>
        </w:tc>
      </w:tr>
    </w:tbl>
    <w:p>
      <w:pPr>
        <w:rPr>
          <w:rFonts w:asciiTheme="minorHAnsi" w:hAnsiTheme="minorHAnsi"/>
        </w:rPr>
      </w:pPr>
    </w:p>
    <w:sectPr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A4E57D-FBB9-40DB-B308-F4CE026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chgate.durham.sch.uk/images/school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NBambridge</cp:lastModifiedBy>
  <cp:revision>6</cp:revision>
  <cp:lastPrinted>2013-05-20T12:40:00Z</cp:lastPrinted>
  <dcterms:created xsi:type="dcterms:W3CDTF">2014-03-21T13:14:00Z</dcterms:created>
  <dcterms:modified xsi:type="dcterms:W3CDTF">2021-08-27T10:09:00Z</dcterms:modified>
</cp:coreProperties>
</file>