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737740B" w:rsidR="00F44B6C" w:rsidRPr="00C676CB" w:rsidRDefault="00CA68F2" w:rsidP="007F19DA">
            <w:pPr>
              <w:rPr>
                <w:rFonts w:cs="Arial"/>
                <w:szCs w:val="24"/>
              </w:rPr>
            </w:pPr>
            <w:r>
              <w:rPr>
                <w:rFonts w:cs="Arial"/>
                <w:szCs w:val="24"/>
              </w:rPr>
              <w:t>Locality Team Manager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36DD5DCB" w:rsidR="00F44B6C" w:rsidRPr="00394ABC" w:rsidRDefault="00394ABC" w:rsidP="007F19DA">
            <w:pPr>
              <w:rPr>
                <w:rFonts w:cs="Arial"/>
                <w:szCs w:val="24"/>
              </w:rPr>
            </w:pPr>
            <w:r w:rsidRPr="00394ABC">
              <w:rPr>
                <w:rFonts w:cs="Arial"/>
                <w:color w:val="444444"/>
                <w:szCs w:val="24"/>
              </w:rPr>
              <w:t>N6497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4F75589" w:rsidR="00F44B6C" w:rsidRPr="00C676CB" w:rsidRDefault="00CA68F2" w:rsidP="007F19DA">
            <w:pPr>
              <w:rPr>
                <w:rFonts w:cs="Arial"/>
                <w:szCs w:val="24"/>
              </w:rPr>
            </w:pPr>
            <w:r>
              <w:rPr>
                <w:rFonts w:cs="Arial"/>
                <w:szCs w:val="24"/>
              </w:rPr>
              <w:t>Grade 14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DF480F7" w:rsidR="00F44B6C" w:rsidRPr="00C676CB" w:rsidRDefault="00CA68F2"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D7858C2" w:rsidR="00F44B6C" w:rsidRPr="00C676CB" w:rsidRDefault="00CA68F2" w:rsidP="007F19DA">
            <w:pPr>
              <w:rPr>
                <w:rFonts w:cs="Arial"/>
                <w:szCs w:val="24"/>
              </w:rPr>
            </w:pPr>
            <w:r>
              <w:rPr>
                <w:rFonts w:cs="Arial"/>
                <w:szCs w:val="24"/>
              </w:rPr>
              <w:t>Adult Care – OP/PDSI</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924E155" w:rsidR="00F44B6C" w:rsidRPr="00CA68F2" w:rsidRDefault="00CA68F2" w:rsidP="007F19DA">
            <w:pPr>
              <w:rPr>
                <w:rFonts w:cs="Arial"/>
                <w:szCs w:val="24"/>
              </w:rPr>
            </w:pPr>
            <w:r w:rsidRPr="00CA68F2">
              <w:rPr>
                <w:szCs w:val="24"/>
              </w:rPr>
              <w:t>Strategic Manager (OP/PDSI)</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0F5366D" w:rsidR="00F44B6C" w:rsidRPr="00E14818" w:rsidRDefault="00F44B6C" w:rsidP="007F19DA">
            <w:pPr>
              <w:rPr>
                <w:rFonts w:cs="Arial"/>
                <w:szCs w:val="24"/>
              </w:rPr>
            </w:pPr>
            <w:r w:rsidRPr="00E14818">
              <w:rPr>
                <w:rFonts w:cs="Arial"/>
                <w:szCs w:val="24"/>
              </w:rPr>
              <w:t>Your normal place of work will be</w:t>
            </w:r>
            <w:r w:rsidR="001B3562">
              <w:rPr>
                <w:rFonts w:cs="Arial"/>
                <w:szCs w:val="24"/>
              </w:rPr>
              <w:t xml:space="preserve"> </w:t>
            </w:r>
            <w:r w:rsidRPr="00E14818">
              <w:rPr>
                <w:rFonts w:cs="Arial"/>
                <w:szCs w:val="24"/>
              </w:rPr>
              <w:t>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EE1F4AD"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proofErr w:type="spellStart"/>
            <w:r>
              <w:rPr>
                <w:rFonts w:cs="Arial"/>
                <w:szCs w:val="24"/>
              </w:rPr>
              <w:t>a</w:t>
            </w:r>
            <w:proofErr w:type="spellEnd"/>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5E60F04"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7AA34CF"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5D19E22" w14:textId="77777777" w:rsidR="00CA68F2" w:rsidRPr="0017000F" w:rsidRDefault="00CA68F2" w:rsidP="00CA68F2">
      <w:pPr>
        <w:rPr>
          <w:b/>
          <w:bCs/>
          <w:sz w:val="22"/>
        </w:rPr>
      </w:pPr>
      <w:r w:rsidRPr="0017000F">
        <w:rPr>
          <w:sz w:val="22"/>
        </w:rPr>
        <w:t>To manage and co-ordinate the Service’s resources and services in the most effective and efficient way possible, ensuring that the quality standards and strategic objectives of the Service are maintained and developed at a local level.  To achieve an integrated and responsive approach to locality and customer issues.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761B5C35" w14:textId="77777777" w:rsidR="00CA68F2" w:rsidRPr="00CA68F2" w:rsidRDefault="00CA68F2" w:rsidP="00CA68F2">
      <w:pPr>
        <w:pStyle w:val="BodyText2"/>
        <w:numPr>
          <w:ilvl w:val="0"/>
          <w:numId w:val="30"/>
        </w:numPr>
        <w:spacing w:line="240" w:lineRule="auto"/>
        <w:rPr>
          <w:rFonts w:ascii="Arial" w:hAnsi="Arial"/>
        </w:rPr>
      </w:pPr>
      <w:r w:rsidRPr="00CA68F2">
        <w:rPr>
          <w:rFonts w:ascii="Arial" w:hAnsi="Arial"/>
          <w:b/>
          <w:bCs/>
        </w:rPr>
        <w:t>Team Management</w:t>
      </w:r>
      <w:r w:rsidRPr="00CA68F2">
        <w:rPr>
          <w:rFonts w:ascii="Arial" w:hAnsi="Arial"/>
        </w:rPr>
        <w:t xml:space="preserve"> </w:t>
      </w:r>
    </w:p>
    <w:p w14:paraId="12AD4A21" w14:textId="77777777" w:rsidR="00CA68F2" w:rsidRPr="00CA68F2" w:rsidRDefault="00CA68F2" w:rsidP="00CA68F2">
      <w:pPr>
        <w:pStyle w:val="BodyText2"/>
        <w:spacing w:line="240" w:lineRule="auto"/>
        <w:ind w:left="720"/>
        <w:rPr>
          <w:rFonts w:ascii="Arial" w:hAnsi="Arial"/>
        </w:rPr>
      </w:pPr>
      <w:r w:rsidRPr="00CA68F2">
        <w:rPr>
          <w:rFonts w:ascii="Arial" w:hAnsi="Arial"/>
        </w:rPr>
        <w:t>To provide vision and leadership in the management of the teams ensuring that effective systems are in place for the assessment of need, the allocation and management of workloads, the application of the Authority’s and Service’s procedures and guidelines, including those relating to equality and supervision and appraisal and all aspects of staff performance, personal development, health and welfare.  To be accountable for the recruitment of staff in accordance with the Authority’s policy and to ensure that the Authority’s policies are followed in relation to grievance, harassment or discipline.</w:t>
      </w:r>
    </w:p>
    <w:p w14:paraId="1D01849F" w14:textId="77777777" w:rsidR="00CA68F2" w:rsidRPr="00CA68F2" w:rsidRDefault="00CA68F2" w:rsidP="00CA68F2">
      <w:pPr>
        <w:pStyle w:val="BodyText2"/>
        <w:spacing w:line="240" w:lineRule="auto"/>
        <w:ind w:left="720"/>
        <w:rPr>
          <w:rFonts w:ascii="Arial" w:hAnsi="Arial"/>
        </w:rPr>
      </w:pPr>
    </w:p>
    <w:p w14:paraId="5E4976D1" w14:textId="77777777" w:rsidR="00CA68F2" w:rsidRPr="00CA68F2" w:rsidRDefault="00CA68F2" w:rsidP="00CA68F2">
      <w:pPr>
        <w:pStyle w:val="BodyText2"/>
        <w:spacing w:line="240" w:lineRule="auto"/>
        <w:ind w:left="720"/>
        <w:rPr>
          <w:rFonts w:ascii="Arial" w:hAnsi="Arial"/>
        </w:rPr>
      </w:pPr>
    </w:p>
    <w:p w14:paraId="43600C76" w14:textId="77777777" w:rsidR="00CA68F2" w:rsidRPr="00CA68F2" w:rsidRDefault="00CA68F2" w:rsidP="00CA68F2">
      <w:pPr>
        <w:pStyle w:val="BodyText2"/>
        <w:spacing w:line="240" w:lineRule="auto"/>
        <w:ind w:left="720"/>
        <w:rPr>
          <w:rFonts w:ascii="Arial" w:hAnsi="Arial"/>
        </w:rPr>
      </w:pPr>
    </w:p>
    <w:p w14:paraId="56CAF138" w14:textId="77777777" w:rsidR="00CA68F2" w:rsidRPr="00CA68F2" w:rsidRDefault="00CA68F2" w:rsidP="00CA68F2">
      <w:pPr>
        <w:pStyle w:val="BodyText2"/>
        <w:numPr>
          <w:ilvl w:val="0"/>
          <w:numId w:val="30"/>
        </w:numPr>
        <w:spacing w:line="240" w:lineRule="auto"/>
        <w:rPr>
          <w:rFonts w:ascii="Arial" w:hAnsi="Arial"/>
        </w:rPr>
      </w:pPr>
      <w:r w:rsidRPr="00CA68F2">
        <w:rPr>
          <w:rFonts w:ascii="Arial" w:hAnsi="Arial"/>
          <w:b/>
          <w:bCs/>
        </w:rPr>
        <w:t>Financial Management</w:t>
      </w:r>
      <w:r w:rsidRPr="00CA68F2">
        <w:rPr>
          <w:rFonts w:ascii="Arial" w:hAnsi="Arial"/>
        </w:rPr>
        <w:t xml:space="preserve"> </w:t>
      </w:r>
    </w:p>
    <w:p w14:paraId="61F5D3BA" w14:textId="00F6656B" w:rsidR="00CA68F2" w:rsidRPr="00CA68F2" w:rsidRDefault="00CA68F2" w:rsidP="00CA68F2">
      <w:pPr>
        <w:pStyle w:val="BodyText2"/>
        <w:spacing w:line="240" w:lineRule="auto"/>
        <w:ind w:left="720"/>
        <w:rPr>
          <w:rFonts w:ascii="Arial" w:hAnsi="Arial"/>
        </w:rPr>
      </w:pPr>
      <w:r w:rsidRPr="00CA68F2">
        <w:rPr>
          <w:rFonts w:ascii="Arial" w:hAnsi="Arial"/>
        </w:rPr>
        <w:t xml:space="preserve">To manage a designated budget ensuring that the Service achieves value for money in all circumstances through the monitoring and control of expenditure and the early identification of any financial irregularity. </w:t>
      </w:r>
    </w:p>
    <w:p w14:paraId="2EC86D00" w14:textId="77777777" w:rsidR="00CA68F2" w:rsidRPr="00CA68F2" w:rsidRDefault="00CA68F2" w:rsidP="00CA68F2">
      <w:pPr>
        <w:pStyle w:val="BodyText2"/>
        <w:numPr>
          <w:ilvl w:val="0"/>
          <w:numId w:val="30"/>
        </w:numPr>
        <w:spacing w:line="240" w:lineRule="auto"/>
        <w:rPr>
          <w:rFonts w:ascii="Arial" w:hAnsi="Arial"/>
        </w:rPr>
      </w:pPr>
      <w:r w:rsidRPr="00CA68F2">
        <w:rPr>
          <w:rFonts w:ascii="Arial" w:hAnsi="Arial"/>
          <w:b/>
          <w:bCs/>
        </w:rPr>
        <w:t>Operations Management</w:t>
      </w:r>
    </w:p>
    <w:p w14:paraId="59E241F2" w14:textId="4A21E625" w:rsidR="00CA68F2" w:rsidRPr="00CA68F2" w:rsidRDefault="00CA68F2" w:rsidP="00CA68F2">
      <w:pPr>
        <w:pStyle w:val="BodyText2"/>
        <w:spacing w:line="240" w:lineRule="auto"/>
        <w:ind w:left="720"/>
        <w:rPr>
          <w:rFonts w:ascii="Arial" w:hAnsi="Arial"/>
        </w:rPr>
      </w:pPr>
      <w:r w:rsidRPr="00CA68F2">
        <w:rPr>
          <w:rFonts w:ascii="Arial" w:hAnsi="Arial"/>
        </w:rPr>
        <w:t>To manage team resources so that responses to the needs of the public, Elected Members and partner agencies are prompt, flexible and sensitive to the changing needs of that setting and locality.</w:t>
      </w:r>
    </w:p>
    <w:p w14:paraId="5808C7B7" w14:textId="77777777" w:rsidR="00CA68F2" w:rsidRPr="00CA68F2" w:rsidRDefault="00CA68F2" w:rsidP="00CA68F2">
      <w:pPr>
        <w:pStyle w:val="BodyText2"/>
        <w:numPr>
          <w:ilvl w:val="0"/>
          <w:numId w:val="30"/>
        </w:numPr>
        <w:spacing w:line="240" w:lineRule="auto"/>
        <w:rPr>
          <w:rFonts w:ascii="Arial" w:hAnsi="Arial"/>
        </w:rPr>
      </w:pPr>
      <w:r w:rsidRPr="00CA68F2">
        <w:rPr>
          <w:rFonts w:ascii="Arial" w:hAnsi="Arial"/>
          <w:b/>
          <w:bCs/>
        </w:rPr>
        <w:t>Performance Management</w:t>
      </w:r>
    </w:p>
    <w:p w14:paraId="07243A7F" w14:textId="4C11DD0F" w:rsidR="00CA68F2" w:rsidRPr="00CA68F2" w:rsidRDefault="00CA68F2" w:rsidP="00CA68F2">
      <w:pPr>
        <w:pStyle w:val="BodyText2"/>
        <w:spacing w:line="240" w:lineRule="auto"/>
        <w:ind w:left="720"/>
        <w:rPr>
          <w:rFonts w:ascii="Arial" w:hAnsi="Arial"/>
        </w:rPr>
      </w:pPr>
      <w:r w:rsidRPr="00CA68F2">
        <w:rPr>
          <w:rFonts w:ascii="Arial" w:hAnsi="Arial"/>
        </w:rPr>
        <w:t>To assist in the development and setting of local performance management indicators for their services area and to monitor and manage team performance against them.  To ensure that national and departmental performance targets are met. To provide appropriate, necessary verbal or written information, monitoring statistics and reports as request in relation to the work and activities of the locality involved in the commissioning of social care services.</w:t>
      </w:r>
    </w:p>
    <w:p w14:paraId="13E4DC74" w14:textId="77777777" w:rsidR="00CA68F2" w:rsidRPr="00CA68F2" w:rsidRDefault="00CA68F2" w:rsidP="00CA68F2">
      <w:pPr>
        <w:pStyle w:val="BodyText2"/>
        <w:numPr>
          <w:ilvl w:val="0"/>
          <w:numId w:val="30"/>
        </w:numPr>
        <w:spacing w:line="240" w:lineRule="auto"/>
        <w:rPr>
          <w:rFonts w:ascii="Arial" w:hAnsi="Arial"/>
        </w:rPr>
      </w:pPr>
      <w:r w:rsidRPr="00CA68F2">
        <w:rPr>
          <w:rFonts w:ascii="Arial" w:hAnsi="Arial"/>
          <w:b/>
          <w:bCs/>
        </w:rPr>
        <w:t>Professional Practice</w:t>
      </w:r>
    </w:p>
    <w:p w14:paraId="23DFCC7F" w14:textId="645A5613" w:rsidR="00CA68F2" w:rsidRPr="00CA68F2" w:rsidRDefault="00CA68F2" w:rsidP="00CA68F2">
      <w:pPr>
        <w:pStyle w:val="BodyText2"/>
        <w:spacing w:line="240" w:lineRule="auto"/>
        <w:ind w:left="720"/>
        <w:rPr>
          <w:rFonts w:ascii="Arial" w:hAnsi="Arial"/>
        </w:rPr>
      </w:pPr>
      <w:r w:rsidRPr="00CA68F2">
        <w:rPr>
          <w:rFonts w:ascii="Arial" w:hAnsi="Arial"/>
        </w:rPr>
        <w:t>To provide a service development element to the social care OP/PDSI staff within the locality to ensure that professional practice and systems development is carried out to the highest standards and is in line with the Service’s stated objectives of continual improvement in the quality of service.</w:t>
      </w:r>
    </w:p>
    <w:p w14:paraId="5BB4EFD0" w14:textId="77777777" w:rsidR="00CA68F2" w:rsidRPr="00CA68F2" w:rsidRDefault="00CA68F2" w:rsidP="00CA68F2">
      <w:pPr>
        <w:pStyle w:val="BodyText2"/>
        <w:numPr>
          <w:ilvl w:val="0"/>
          <w:numId w:val="30"/>
        </w:numPr>
        <w:spacing w:line="240" w:lineRule="auto"/>
        <w:rPr>
          <w:rFonts w:ascii="Arial" w:hAnsi="Arial"/>
        </w:rPr>
      </w:pPr>
      <w:r w:rsidRPr="00CA68F2">
        <w:rPr>
          <w:rFonts w:ascii="Arial" w:hAnsi="Arial"/>
          <w:b/>
          <w:bCs/>
        </w:rPr>
        <w:t>Partnerships</w:t>
      </w:r>
    </w:p>
    <w:p w14:paraId="6BFB5AD3" w14:textId="78A4F7A2" w:rsidR="00CA68F2" w:rsidRPr="00CA68F2" w:rsidRDefault="00CA68F2" w:rsidP="00CA68F2">
      <w:pPr>
        <w:pStyle w:val="BodyText2"/>
        <w:spacing w:line="240" w:lineRule="auto"/>
        <w:ind w:left="720"/>
        <w:rPr>
          <w:rFonts w:ascii="Arial" w:hAnsi="Arial"/>
        </w:rPr>
      </w:pPr>
      <w:r w:rsidRPr="00CA68F2">
        <w:rPr>
          <w:rFonts w:ascii="Arial" w:hAnsi="Arial"/>
        </w:rPr>
        <w:t>To facilitate and develop the local partnership strategy. To establish and maintain good collaborative arrangements with primary health care trusts, Primary Care Teams, Foundation Health Trusts, and other relevant partner agencies.  To lead and develop local planning and engage with partner agencies to promote the development of new jointly integrated working arrangements.</w:t>
      </w:r>
    </w:p>
    <w:p w14:paraId="24D84B29" w14:textId="77777777" w:rsidR="00CA68F2" w:rsidRPr="00CA68F2" w:rsidRDefault="00CA68F2" w:rsidP="00CA68F2">
      <w:pPr>
        <w:pStyle w:val="BodyText2"/>
        <w:numPr>
          <w:ilvl w:val="0"/>
          <w:numId w:val="30"/>
        </w:numPr>
        <w:spacing w:line="240" w:lineRule="auto"/>
        <w:rPr>
          <w:rFonts w:ascii="Arial" w:hAnsi="Arial"/>
        </w:rPr>
      </w:pPr>
      <w:r w:rsidRPr="00CA68F2">
        <w:rPr>
          <w:rFonts w:ascii="Arial" w:hAnsi="Arial"/>
          <w:b/>
        </w:rPr>
        <w:t>Service Improvements</w:t>
      </w:r>
      <w:r w:rsidRPr="00CA68F2">
        <w:rPr>
          <w:rFonts w:ascii="Arial" w:hAnsi="Arial"/>
        </w:rPr>
        <w:t xml:space="preserve"> </w:t>
      </w:r>
    </w:p>
    <w:p w14:paraId="54DE2801" w14:textId="6BBCEECC" w:rsidR="00CA68F2" w:rsidRPr="00CA68F2" w:rsidRDefault="00CA68F2" w:rsidP="00CA68F2">
      <w:pPr>
        <w:pStyle w:val="BodyText2"/>
        <w:spacing w:line="240" w:lineRule="auto"/>
        <w:ind w:left="720"/>
        <w:rPr>
          <w:rFonts w:ascii="Arial" w:hAnsi="Arial"/>
        </w:rPr>
      </w:pPr>
      <w:r w:rsidRPr="00CA68F2">
        <w:rPr>
          <w:rFonts w:ascii="Arial" w:hAnsi="Arial"/>
        </w:rPr>
        <w:t>To assist the Operations Manager by taking lead or representative roles in the development of operational services, pathways or procedures ensuring the standards and strategic objectives of the service are incorporated at local, regional or national level.</w:t>
      </w:r>
    </w:p>
    <w:p w14:paraId="69B1825B" w14:textId="77777777" w:rsidR="00CA68F2" w:rsidRPr="00CA68F2" w:rsidRDefault="00CA68F2" w:rsidP="00CA68F2">
      <w:pPr>
        <w:pStyle w:val="BodyText2"/>
        <w:numPr>
          <w:ilvl w:val="0"/>
          <w:numId w:val="30"/>
        </w:numPr>
        <w:spacing w:line="240" w:lineRule="auto"/>
        <w:rPr>
          <w:rFonts w:ascii="Arial" w:hAnsi="Arial"/>
        </w:rPr>
      </w:pPr>
      <w:r w:rsidRPr="00CA68F2">
        <w:rPr>
          <w:rFonts w:ascii="Arial" w:hAnsi="Arial"/>
          <w:b/>
        </w:rPr>
        <w:t>Legislation</w:t>
      </w:r>
    </w:p>
    <w:p w14:paraId="03D21C9B" w14:textId="4DAE3557" w:rsidR="00CA68F2" w:rsidRPr="00CA68F2" w:rsidRDefault="00CA68F2" w:rsidP="00CA68F2">
      <w:pPr>
        <w:pStyle w:val="BodyText2"/>
        <w:spacing w:line="240" w:lineRule="auto"/>
        <w:ind w:left="720"/>
        <w:rPr>
          <w:rFonts w:ascii="Arial" w:hAnsi="Arial"/>
        </w:rPr>
      </w:pPr>
      <w:r w:rsidRPr="00CA68F2">
        <w:rPr>
          <w:rFonts w:ascii="Arial" w:hAnsi="Arial"/>
        </w:rPr>
        <w:t>To acquire and sustain a detailed awareness and understanding of current national legislation, guidance and developments in relation to social care service provision</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710BDBFD" w14:textId="77777777" w:rsidR="00CA68F2"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71CBD08E" w14:textId="77777777" w:rsidR="00CA68F2" w:rsidRDefault="00CA68F2" w:rsidP="00E84624">
      <w:pPr>
        <w:pStyle w:val="ListParagraph"/>
        <w:ind w:left="567"/>
        <w:jc w:val="both"/>
        <w:rPr>
          <w:rFonts w:cs="Arial"/>
          <w:szCs w:val="24"/>
        </w:rPr>
      </w:pPr>
    </w:p>
    <w:p w14:paraId="0CAE49EE" w14:textId="77777777" w:rsidR="00CA68F2" w:rsidRDefault="00CA68F2" w:rsidP="00E84624">
      <w:pPr>
        <w:pStyle w:val="ListParagraph"/>
        <w:ind w:left="567"/>
        <w:jc w:val="both"/>
        <w:rPr>
          <w:rFonts w:cs="Arial"/>
          <w:szCs w:val="24"/>
        </w:rPr>
      </w:pPr>
    </w:p>
    <w:p w14:paraId="046B3C0D" w14:textId="330CCA01" w:rsidR="00681A84" w:rsidRDefault="00681A84" w:rsidP="00E84624">
      <w:pPr>
        <w:pStyle w:val="ListParagraph"/>
        <w:ind w:left="567"/>
        <w:jc w:val="both"/>
        <w:rPr>
          <w:rFonts w:cs="Arial"/>
          <w:szCs w:val="24"/>
        </w:rPr>
      </w:pPr>
      <w:r>
        <w:rPr>
          <w:rFonts w:cs="Arial"/>
          <w:szCs w:val="24"/>
        </w:rPr>
        <w:t>.</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52104FBA"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6CF867C" w14:textId="72671CCF" w:rsidR="003A7B4B" w:rsidRDefault="003A7B4B" w:rsidP="00E84624">
      <w:pPr>
        <w:pStyle w:val="ListParagraph"/>
        <w:ind w:left="567"/>
        <w:jc w:val="both"/>
        <w:rPr>
          <w:rFonts w:cs="Arial"/>
          <w:szCs w:val="24"/>
        </w:rPr>
      </w:pPr>
    </w:p>
    <w:p w14:paraId="78C92243" w14:textId="77777777" w:rsidR="003A7B4B" w:rsidRDefault="003A7B4B"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A68F2" w14:paraId="4FF8591D" w14:textId="77777777" w:rsidTr="00040EE4">
        <w:trPr>
          <w:trHeight w:val="1923"/>
        </w:trPr>
        <w:tc>
          <w:tcPr>
            <w:tcW w:w="1671" w:type="dxa"/>
            <w:shd w:val="clear" w:color="auto" w:fill="F2F2F2" w:themeFill="background1" w:themeFillShade="F2"/>
          </w:tcPr>
          <w:p w14:paraId="4A9CC9B5" w14:textId="77777777" w:rsidR="00CA68F2" w:rsidRPr="00845787" w:rsidRDefault="00CA68F2" w:rsidP="00CA68F2">
            <w:pPr>
              <w:pStyle w:val="aTitle"/>
              <w:tabs>
                <w:tab w:val="clear" w:pos="4513"/>
              </w:tabs>
              <w:rPr>
                <w:rFonts w:cs="Arial"/>
                <w:noProof/>
                <w:color w:val="auto"/>
                <w:sz w:val="22"/>
                <w:lang w:eastAsia="en-GB"/>
              </w:rPr>
            </w:pPr>
          </w:p>
          <w:p w14:paraId="7BF312D2" w14:textId="77777777" w:rsidR="00CA68F2" w:rsidRPr="00845787" w:rsidRDefault="00CA68F2" w:rsidP="00CA68F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CCAD50F" w14:textId="77777777" w:rsidR="00CA68F2" w:rsidRPr="00CA68F2" w:rsidRDefault="00CA68F2" w:rsidP="00CA68F2">
            <w:pPr>
              <w:pStyle w:val="ListParagraph"/>
              <w:numPr>
                <w:ilvl w:val="0"/>
                <w:numId w:val="21"/>
              </w:numPr>
              <w:rPr>
                <w:szCs w:val="24"/>
              </w:rPr>
            </w:pPr>
            <w:r w:rsidRPr="00CA68F2">
              <w:rPr>
                <w:szCs w:val="24"/>
              </w:rPr>
              <w:t xml:space="preserve">Appropriate professional Social Care qualification, i.e. </w:t>
            </w:r>
          </w:p>
          <w:p w14:paraId="1C5C8B00" w14:textId="77777777" w:rsidR="00CA68F2" w:rsidRPr="00CA68F2" w:rsidRDefault="00CA68F2" w:rsidP="00CA68F2">
            <w:pPr>
              <w:numPr>
                <w:ilvl w:val="0"/>
                <w:numId w:val="21"/>
              </w:numPr>
              <w:rPr>
                <w:szCs w:val="24"/>
              </w:rPr>
            </w:pPr>
            <w:r w:rsidRPr="00CA68F2">
              <w:rPr>
                <w:szCs w:val="24"/>
              </w:rPr>
              <w:t xml:space="preserve">Degree in SW or recognised equivalent – </w:t>
            </w:r>
          </w:p>
          <w:p w14:paraId="254D3DB8" w14:textId="77777777" w:rsidR="00CA68F2" w:rsidRPr="00CA68F2" w:rsidRDefault="00CA68F2" w:rsidP="00CA68F2">
            <w:pPr>
              <w:numPr>
                <w:ilvl w:val="0"/>
                <w:numId w:val="21"/>
              </w:numPr>
              <w:rPr>
                <w:szCs w:val="24"/>
              </w:rPr>
            </w:pPr>
            <w:r w:rsidRPr="00CA68F2">
              <w:rPr>
                <w:szCs w:val="24"/>
              </w:rPr>
              <w:t>Current registration with Social Work England.</w:t>
            </w:r>
          </w:p>
          <w:p w14:paraId="1F457098" w14:textId="77777777" w:rsidR="00CA68F2" w:rsidRPr="00CA68F2" w:rsidRDefault="00CA68F2" w:rsidP="00CA68F2">
            <w:pPr>
              <w:rPr>
                <w:szCs w:val="24"/>
              </w:rPr>
            </w:pPr>
          </w:p>
          <w:p w14:paraId="45FD4C43" w14:textId="77777777" w:rsidR="00CA68F2" w:rsidRPr="00CA68F2" w:rsidRDefault="00CA68F2" w:rsidP="00CA68F2">
            <w:pPr>
              <w:rPr>
                <w:szCs w:val="24"/>
              </w:rPr>
            </w:pPr>
          </w:p>
          <w:p w14:paraId="72C8766B" w14:textId="2AC2267C" w:rsidR="00CA68F2" w:rsidRPr="00CA68F2" w:rsidRDefault="00CA68F2" w:rsidP="00CA68F2">
            <w:pPr>
              <w:pStyle w:val="aTitle"/>
              <w:tabs>
                <w:tab w:val="clear" w:pos="4513"/>
                <w:tab w:val="clear" w:pos="9026"/>
              </w:tabs>
              <w:rPr>
                <w:rFonts w:cs="Arial"/>
                <w:b w:val="0"/>
                <w:iCs/>
                <w:noProof/>
                <w:color w:val="auto"/>
                <w:sz w:val="24"/>
                <w:szCs w:val="24"/>
                <w:lang w:eastAsia="en-GB"/>
              </w:rPr>
            </w:pPr>
          </w:p>
        </w:tc>
        <w:tc>
          <w:tcPr>
            <w:tcW w:w="4961" w:type="dxa"/>
          </w:tcPr>
          <w:p w14:paraId="6A440ECA" w14:textId="21638666" w:rsidR="00CA68F2" w:rsidRPr="00CA68F2" w:rsidRDefault="00CA68F2" w:rsidP="00CA68F2">
            <w:pPr>
              <w:pStyle w:val="aTitle"/>
              <w:numPr>
                <w:ilvl w:val="0"/>
                <w:numId w:val="21"/>
              </w:numPr>
              <w:tabs>
                <w:tab w:val="clear" w:pos="4513"/>
              </w:tabs>
              <w:rPr>
                <w:rFonts w:cs="Arial"/>
                <w:b w:val="0"/>
                <w:iCs/>
                <w:noProof/>
                <w:color w:val="auto"/>
                <w:sz w:val="24"/>
                <w:szCs w:val="24"/>
                <w:lang w:eastAsia="en-GB"/>
              </w:rPr>
            </w:pPr>
            <w:r w:rsidRPr="00CA68F2">
              <w:rPr>
                <w:b w:val="0"/>
                <w:color w:val="auto"/>
                <w:sz w:val="24"/>
                <w:szCs w:val="24"/>
              </w:rPr>
              <w:t>NVQ 4 in Management or equivalent</w:t>
            </w:r>
          </w:p>
        </w:tc>
      </w:tr>
      <w:tr w:rsidR="00CA68F2" w14:paraId="1760C13B" w14:textId="77777777" w:rsidTr="00CA68F2">
        <w:trPr>
          <w:trHeight w:val="1866"/>
        </w:trPr>
        <w:tc>
          <w:tcPr>
            <w:tcW w:w="1671" w:type="dxa"/>
            <w:shd w:val="clear" w:color="auto" w:fill="F2F2F2" w:themeFill="background1" w:themeFillShade="F2"/>
          </w:tcPr>
          <w:p w14:paraId="057F7F70" w14:textId="77777777" w:rsidR="00CA68F2" w:rsidRPr="00845787" w:rsidRDefault="00CA68F2" w:rsidP="00CA68F2">
            <w:pPr>
              <w:pStyle w:val="aTitle"/>
              <w:tabs>
                <w:tab w:val="clear" w:pos="4513"/>
              </w:tabs>
              <w:rPr>
                <w:rFonts w:cs="Arial"/>
                <w:noProof/>
                <w:color w:val="auto"/>
                <w:sz w:val="22"/>
                <w:lang w:eastAsia="en-GB"/>
              </w:rPr>
            </w:pPr>
          </w:p>
          <w:p w14:paraId="07488D42" w14:textId="77777777" w:rsidR="00CA68F2" w:rsidRPr="00845787" w:rsidRDefault="00CA68F2" w:rsidP="00CA68F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227CBA7" w14:textId="77777777" w:rsidR="00CA68F2" w:rsidRPr="00121D53" w:rsidRDefault="00CA68F2" w:rsidP="00CA68F2">
            <w:pPr>
              <w:pStyle w:val="Heading5"/>
              <w:numPr>
                <w:ilvl w:val="0"/>
                <w:numId w:val="21"/>
              </w:numPr>
              <w:rPr>
                <w:rFonts w:ascii="Arial" w:hAnsi="Arial" w:cs="Arial"/>
                <w:iCs/>
                <w:color w:val="auto"/>
                <w:szCs w:val="24"/>
              </w:rPr>
            </w:pPr>
            <w:r w:rsidRPr="00121D53">
              <w:rPr>
                <w:rFonts w:ascii="Arial" w:hAnsi="Arial" w:cs="Arial"/>
                <w:color w:val="auto"/>
                <w:szCs w:val="24"/>
              </w:rPr>
              <w:t xml:space="preserve">Relevant post-qualifying </w:t>
            </w:r>
            <w:r w:rsidRPr="00121D53">
              <w:rPr>
                <w:rFonts w:ascii="Arial" w:hAnsi="Arial" w:cs="Arial"/>
                <w:iCs/>
                <w:color w:val="auto"/>
                <w:szCs w:val="24"/>
              </w:rPr>
              <w:t>experience including</w:t>
            </w:r>
          </w:p>
          <w:p w14:paraId="04BF14CD" w14:textId="4BBC7BEA" w:rsidR="00CA68F2" w:rsidRPr="00CA68F2" w:rsidRDefault="00CA68F2" w:rsidP="00CA68F2">
            <w:pPr>
              <w:pStyle w:val="aTitle"/>
              <w:numPr>
                <w:ilvl w:val="0"/>
                <w:numId w:val="21"/>
              </w:numPr>
              <w:tabs>
                <w:tab w:val="clear" w:pos="4513"/>
                <w:tab w:val="clear" w:pos="9026"/>
              </w:tabs>
              <w:rPr>
                <w:rFonts w:cs="Arial"/>
                <w:b w:val="0"/>
                <w:iCs/>
                <w:noProof/>
                <w:color w:val="auto"/>
                <w:sz w:val="24"/>
                <w:szCs w:val="24"/>
                <w:lang w:eastAsia="en-GB"/>
              </w:rPr>
            </w:pPr>
            <w:r w:rsidRPr="00CA68F2">
              <w:rPr>
                <w:b w:val="0"/>
                <w:color w:val="auto"/>
                <w:sz w:val="24"/>
                <w:szCs w:val="24"/>
              </w:rPr>
              <w:t>personnel supervisory responsibilities, project and change management,  inter-agency and partnership development and the monitoring and development of practice standards.</w:t>
            </w:r>
          </w:p>
        </w:tc>
        <w:tc>
          <w:tcPr>
            <w:tcW w:w="4961" w:type="dxa"/>
          </w:tcPr>
          <w:p w14:paraId="23AF4E6F" w14:textId="6C84703C" w:rsidR="00CA68F2" w:rsidRPr="00CA68F2" w:rsidRDefault="00CA68F2" w:rsidP="00CA68F2">
            <w:pPr>
              <w:pStyle w:val="aTitle"/>
              <w:tabs>
                <w:tab w:val="clear" w:pos="4513"/>
              </w:tabs>
              <w:ind w:left="720"/>
              <w:rPr>
                <w:rFonts w:cs="Arial"/>
                <w:b w:val="0"/>
                <w:iCs/>
                <w:noProof/>
                <w:color w:val="auto"/>
                <w:sz w:val="24"/>
                <w:szCs w:val="24"/>
                <w:lang w:eastAsia="en-GB"/>
              </w:rPr>
            </w:pPr>
          </w:p>
        </w:tc>
      </w:tr>
      <w:tr w:rsidR="00CA68F2" w14:paraId="549735C0" w14:textId="77777777" w:rsidTr="00040EE4">
        <w:trPr>
          <w:trHeight w:val="1962"/>
        </w:trPr>
        <w:tc>
          <w:tcPr>
            <w:tcW w:w="1671" w:type="dxa"/>
            <w:shd w:val="clear" w:color="auto" w:fill="F2F2F2" w:themeFill="background1" w:themeFillShade="F2"/>
          </w:tcPr>
          <w:p w14:paraId="75E1C428" w14:textId="77777777" w:rsidR="00CA68F2" w:rsidRPr="00845787" w:rsidRDefault="00CA68F2" w:rsidP="00CA68F2">
            <w:pPr>
              <w:pStyle w:val="aTitle"/>
              <w:tabs>
                <w:tab w:val="clear" w:pos="4513"/>
              </w:tabs>
              <w:rPr>
                <w:rFonts w:cs="Arial"/>
                <w:noProof/>
                <w:color w:val="auto"/>
                <w:sz w:val="22"/>
                <w:lang w:eastAsia="en-GB"/>
              </w:rPr>
            </w:pPr>
          </w:p>
          <w:p w14:paraId="712F168F" w14:textId="77777777" w:rsidR="00CA68F2" w:rsidRPr="00845787" w:rsidRDefault="00CA68F2" w:rsidP="00CA68F2">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8EAAD55" w14:textId="77777777" w:rsidR="00CA68F2" w:rsidRPr="00121D53" w:rsidRDefault="00CA68F2" w:rsidP="00121D53">
            <w:pPr>
              <w:pStyle w:val="Heading5"/>
              <w:numPr>
                <w:ilvl w:val="0"/>
                <w:numId w:val="21"/>
              </w:numPr>
              <w:spacing w:before="0"/>
              <w:rPr>
                <w:rFonts w:ascii="Arial" w:hAnsi="Arial" w:cs="Arial"/>
                <w:iCs/>
                <w:color w:val="auto"/>
                <w:szCs w:val="24"/>
              </w:rPr>
            </w:pPr>
            <w:r w:rsidRPr="00121D53">
              <w:rPr>
                <w:rFonts w:ascii="Arial" w:hAnsi="Arial" w:cs="Arial"/>
                <w:iCs/>
                <w:color w:val="auto"/>
                <w:szCs w:val="24"/>
              </w:rPr>
              <w:t>Capacity to innovate and develop services;</w:t>
            </w:r>
          </w:p>
          <w:p w14:paraId="7E0860E1" w14:textId="77777777" w:rsidR="00CA68F2" w:rsidRPr="00121D53" w:rsidRDefault="00CA68F2" w:rsidP="00121D53">
            <w:pPr>
              <w:pStyle w:val="Heading5"/>
              <w:numPr>
                <w:ilvl w:val="0"/>
                <w:numId w:val="21"/>
              </w:numPr>
              <w:spacing w:before="0"/>
              <w:rPr>
                <w:rFonts w:ascii="Arial" w:hAnsi="Arial" w:cs="Arial"/>
                <w:iCs/>
                <w:color w:val="auto"/>
                <w:szCs w:val="24"/>
              </w:rPr>
            </w:pPr>
            <w:r w:rsidRPr="00121D53">
              <w:rPr>
                <w:rFonts w:ascii="Arial" w:hAnsi="Arial" w:cs="Arial"/>
                <w:iCs/>
                <w:color w:val="auto"/>
                <w:szCs w:val="24"/>
              </w:rPr>
              <w:t>Developed inter-personal skills;</w:t>
            </w:r>
          </w:p>
          <w:p w14:paraId="22799120" w14:textId="77777777" w:rsidR="00CA68F2" w:rsidRPr="00121D53" w:rsidRDefault="00CA68F2" w:rsidP="00121D53">
            <w:pPr>
              <w:pStyle w:val="Heading5"/>
              <w:numPr>
                <w:ilvl w:val="0"/>
                <w:numId w:val="21"/>
              </w:numPr>
              <w:spacing w:before="0"/>
              <w:rPr>
                <w:rFonts w:ascii="Arial" w:hAnsi="Arial" w:cs="Arial"/>
                <w:iCs/>
                <w:color w:val="auto"/>
                <w:szCs w:val="24"/>
              </w:rPr>
            </w:pPr>
            <w:r w:rsidRPr="00121D53">
              <w:rPr>
                <w:rFonts w:ascii="Arial" w:hAnsi="Arial" w:cs="Arial"/>
                <w:iCs/>
                <w:color w:val="auto"/>
                <w:szCs w:val="24"/>
              </w:rPr>
              <w:t xml:space="preserve">Organisational and administrative skills; </w:t>
            </w:r>
          </w:p>
          <w:p w14:paraId="2CC135FE" w14:textId="77777777" w:rsidR="00CA68F2" w:rsidRPr="00121D53" w:rsidRDefault="00CA68F2" w:rsidP="00121D53">
            <w:pPr>
              <w:pStyle w:val="Heading5"/>
              <w:numPr>
                <w:ilvl w:val="0"/>
                <w:numId w:val="21"/>
              </w:numPr>
              <w:spacing w:before="0"/>
              <w:rPr>
                <w:rFonts w:ascii="Arial" w:hAnsi="Arial" w:cs="Arial"/>
                <w:iCs/>
                <w:color w:val="auto"/>
                <w:szCs w:val="24"/>
              </w:rPr>
            </w:pPr>
            <w:r w:rsidRPr="00121D53">
              <w:rPr>
                <w:rFonts w:ascii="Arial" w:hAnsi="Arial" w:cs="Arial"/>
                <w:iCs/>
                <w:color w:val="auto"/>
                <w:szCs w:val="24"/>
              </w:rPr>
              <w:t>Ability to negotiate;</w:t>
            </w:r>
          </w:p>
          <w:p w14:paraId="0B41220D" w14:textId="77777777" w:rsidR="00CA68F2" w:rsidRPr="00121D53" w:rsidRDefault="00CA68F2" w:rsidP="00121D53">
            <w:pPr>
              <w:pStyle w:val="Heading5"/>
              <w:numPr>
                <w:ilvl w:val="0"/>
                <w:numId w:val="21"/>
              </w:numPr>
              <w:spacing w:before="0"/>
              <w:rPr>
                <w:rFonts w:ascii="Arial" w:hAnsi="Arial" w:cs="Arial"/>
                <w:iCs/>
                <w:color w:val="auto"/>
                <w:szCs w:val="24"/>
              </w:rPr>
            </w:pPr>
            <w:r w:rsidRPr="00121D53">
              <w:rPr>
                <w:rFonts w:ascii="Arial" w:hAnsi="Arial" w:cs="Arial"/>
                <w:iCs/>
                <w:color w:val="auto"/>
                <w:szCs w:val="24"/>
              </w:rPr>
              <w:t>Ability to manage complex budgets;</w:t>
            </w:r>
          </w:p>
          <w:p w14:paraId="5CC3F8DB" w14:textId="77777777" w:rsidR="00CA68F2" w:rsidRPr="00121D53" w:rsidRDefault="00CA68F2" w:rsidP="00121D53">
            <w:pPr>
              <w:pStyle w:val="Heading5"/>
              <w:numPr>
                <w:ilvl w:val="0"/>
                <w:numId w:val="21"/>
              </w:numPr>
              <w:spacing w:before="0"/>
              <w:rPr>
                <w:rFonts w:ascii="Arial" w:hAnsi="Arial" w:cs="Arial"/>
                <w:iCs/>
                <w:color w:val="auto"/>
                <w:szCs w:val="24"/>
              </w:rPr>
            </w:pPr>
            <w:r w:rsidRPr="00121D53">
              <w:rPr>
                <w:rFonts w:ascii="Arial" w:hAnsi="Arial" w:cs="Arial"/>
                <w:iCs/>
                <w:color w:val="auto"/>
                <w:szCs w:val="24"/>
              </w:rPr>
              <w:t>Staff recruitment, retention and motivation;</w:t>
            </w:r>
          </w:p>
          <w:p w14:paraId="652EC2DF" w14:textId="77777777" w:rsidR="00CA68F2" w:rsidRPr="00121D53" w:rsidRDefault="00CA68F2" w:rsidP="00CA68F2">
            <w:pPr>
              <w:pStyle w:val="Header"/>
              <w:numPr>
                <w:ilvl w:val="0"/>
                <w:numId w:val="21"/>
              </w:numPr>
              <w:rPr>
                <w:rFonts w:cs="Arial"/>
                <w:szCs w:val="24"/>
              </w:rPr>
            </w:pPr>
            <w:r w:rsidRPr="00121D53">
              <w:rPr>
                <w:rFonts w:cs="Arial"/>
                <w:szCs w:val="24"/>
              </w:rPr>
              <w:t>Willingness to achieve NVQ Level 5 in management or equivalent within 3 years of appointment subject to available funding;</w:t>
            </w:r>
          </w:p>
          <w:p w14:paraId="4DF6D2A2" w14:textId="77777777" w:rsidR="00CA68F2" w:rsidRPr="00121D53" w:rsidRDefault="00CA68F2" w:rsidP="00CA68F2">
            <w:pPr>
              <w:pStyle w:val="Header"/>
              <w:numPr>
                <w:ilvl w:val="0"/>
                <w:numId w:val="21"/>
              </w:numPr>
              <w:rPr>
                <w:rFonts w:cs="Arial"/>
                <w:szCs w:val="24"/>
              </w:rPr>
            </w:pPr>
            <w:r w:rsidRPr="00121D53">
              <w:rPr>
                <w:rFonts w:cs="Arial"/>
                <w:szCs w:val="24"/>
              </w:rPr>
              <w:t>Access to a car or access to a means of mobility support (if driving must have current valid driving licence and appropriate insurance).</w:t>
            </w:r>
          </w:p>
          <w:p w14:paraId="10FB60BA" w14:textId="02882B66" w:rsidR="00CA68F2" w:rsidRPr="00121D53" w:rsidRDefault="00121D53" w:rsidP="00121D53">
            <w:pPr>
              <w:pStyle w:val="Header"/>
              <w:tabs>
                <w:tab w:val="clear" w:pos="4513"/>
                <w:tab w:val="clear" w:pos="9026"/>
                <w:tab w:val="left" w:pos="930"/>
              </w:tabs>
              <w:rPr>
                <w:rFonts w:cs="Arial"/>
                <w:sz w:val="6"/>
                <w:szCs w:val="6"/>
              </w:rPr>
            </w:pPr>
            <w:r>
              <w:rPr>
                <w:rFonts w:cs="Arial"/>
                <w:szCs w:val="24"/>
              </w:rPr>
              <w:tab/>
            </w:r>
          </w:p>
          <w:p w14:paraId="16BA8B2D" w14:textId="77777777" w:rsidR="00CA68F2" w:rsidRPr="00121D53" w:rsidRDefault="00CA68F2" w:rsidP="00CA68F2">
            <w:pPr>
              <w:pStyle w:val="ListParagraph"/>
              <w:numPr>
                <w:ilvl w:val="0"/>
                <w:numId w:val="21"/>
              </w:numPr>
              <w:rPr>
                <w:rFonts w:cs="Arial"/>
                <w:szCs w:val="24"/>
              </w:rPr>
            </w:pPr>
            <w:r w:rsidRPr="00121D53">
              <w:rPr>
                <w:rFonts w:cs="Arial"/>
                <w:szCs w:val="24"/>
              </w:rPr>
              <w:t>Knowledge of services;</w:t>
            </w:r>
          </w:p>
          <w:p w14:paraId="0D79FB64" w14:textId="77777777" w:rsidR="00CA68F2" w:rsidRPr="00121D53" w:rsidRDefault="00CA68F2" w:rsidP="00CA68F2">
            <w:pPr>
              <w:pStyle w:val="ListParagraph"/>
              <w:numPr>
                <w:ilvl w:val="0"/>
                <w:numId w:val="21"/>
              </w:numPr>
              <w:rPr>
                <w:rFonts w:cs="Arial"/>
                <w:szCs w:val="24"/>
              </w:rPr>
            </w:pPr>
            <w:r w:rsidRPr="00121D53">
              <w:rPr>
                <w:rFonts w:cs="Arial"/>
                <w:szCs w:val="24"/>
              </w:rPr>
              <w:t>Awareness of the legal framework;</w:t>
            </w:r>
          </w:p>
          <w:p w14:paraId="1BADEE17" w14:textId="77777777" w:rsidR="00CA68F2" w:rsidRPr="00121D53" w:rsidRDefault="00CA68F2" w:rsidP="00CA68F2">
            <w:pPr>
              <w:pStyle w:val="ListParagraph"/>
              <w:numPr>
                <w:ilvl w:val="0"/>
                <w:numId w:val="21"/>
              </w:numPr>
              <w:rPr>
                <w:rFonts w:cs="Arial"/>
                <w:szCs w:val="24"/>
              </w:rPr>
            </w:pPr>
            <w:r w:rsidRPr="00121D53">
              <w:rPr>
                <w:rFonts w:cs="Arial"/>
                <w:szCs w:val="24"/>
              </w:rPr>
              <w:t>Knowledge of contracting of and service level agreements.</w:t>
            </w:r>
          </w:p>
          <w:p w14:paraId="3AD2DFCD" w14:textId="5DCB576B" w:rsidR="00CA68F2" w:rsidRPr="00121D53" w:rsidRDefault="00CA68F2" w:rsidP="00CA68F2">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CA68F2" w:rsidRPr="00CA68F2" w:rsidRDefault="00CA68F2" w:rsidP="00CA68F2">
            <w:pPr>
              <w:pStyle w:val="aTitle"/>
              <w:tabs>
                <w:tab w:val="clear" w:pos="4513"/>
              </w:tabs>
              <w:ind w:left="720"/>
              <w:rPr>
                <w:rFonts w:cs="Arial"/>
                <w:b w:val="0"/>
                <w:iCs/>
                <w:noProof/>
                <w:color w:val="auto"/>
                <w:sz w:val="24"/>
                <w:szCs w:val="24"/>
                <w:lang w:eastAsia="en-GB"/>
              </w:rPr>
            </w:pPr>
          </w:p>
        </w:tc>
      </w:tr>
      <w:tr w:rsidR="00CA68F2" w14:paraId="076151B7" w14:textId="77777777" w:rsidTr="00040EE4">
        <w:trPr>
          <w:trHeight w:val="2794"/>
        </w:trPr>
        <w:tc>
          <w:tcPr>
            <w:tcW w:w="1671" w:type="dxa"/>
            <w:shd w:val="clear" w:color="auto" w:fill="F2F2F2" w:themeFill="background1" w:themeFillShade="F2"/>
          </w:tcPr>
          <w:p w14:paraId="47F5FA70" w14:textId="77777777" w:rsidR="00CA68F2" w:rsidRPr="00845787" w:rsidRDefault="00CA68F2" w:rsidP="00CA68F2">
            <w:pPr>
              <w:pStyle w:val="aTitle"/>
              <w:tabs>
                <w:tab w:val="clear" w:pos="4513"/>
              </w:tabs>
              <w:rPr>
                <w:rFonts w:cs="Arial"/>
                <w:noProof/>
                <w:color w:val="auto"/>
                <w:sz w:val="22"/>
                <w:lang w:eastAsia="en-GB"/>
              </w:rPr>
            </w:pPr>
          </w:p>
          <w:p w14:paraId="429585E9" w14:textId="77777777" w:rsidR="00CA68F2" w:rsidRPr="00845787" w:rsidRDefault="00CA68F2" w:rsidP="00CA68F2">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A93BC1F" w14:textId="77777777" w:rsidR="00CA68F2" w:rsidRPr="00CA68F2" w:rsidRDefault="00CA68F2" w:rsidP="00CA68F2">
            <w:pPr>
              <w:pStyle w:val="ListParagraph"/>
              <w:numPr>
                <w:ilvl w:val="0"/>
                <w:numId w:val="21"/>
              </w:numPr>
              <w:rPr>
                <w:szCs w:val="24"/>
              </w:rPr>
            </w:pPr>
            <w:r w:rsidRPr="00CA68F2">
              <w:rPr>
                <w:szCs w:val="24"/>
              </w:rPr>
              <w:t>Personal commitment and drive;</w:t>
            </w:r>
          </w:p>
          <w:p w14:paraId="10A4F451" w14:textId="77777777" w:rsidR="00CA68F2" w:rsidRPr="00CA68F2" w:rsidRDefault="00CA68F2" w:rsidP="00CA68F2">
            <w:pPr>
              <w:pStyle w:val="ListParagraph"/>
              <w:numPr>
                <w:ilvl w:val="0"/>
                <w:numId w:val="21"/>
              </w:numPr>
              <w:rPr>
                <w:szCs w:val="24"/>
              </w:rPr>
            </w:pPr>
            <w:r w:rsidRPr="00CA68F2">
              <w:rPr>
                <w:szCs w:val="24"/>
              </w:rPr>
              <w:t>Flexible approach to work;</w:t>
            </w:r>
          </w:p>
          <w:p w14:paraId="233D6F11" w14:textId="77777777" w:rsidR="00CA68F2" w:rsidRPr="00CA68F2" w:rsidRDefault="00CA68F2" w:rsidP="00CA68F2">
            <w:pPr>
              <w:pStyle w:val="Header"/>
              <w:numPr>
                <w:ilvl w:val="0"/>
                <w:numId w:val="21"/>
              </w:numPr>
              <w:rPr>
                <w:szCs w:val="24"/>
              </w:rPr>
            </w:pPr>
            <w:r w:rsidRPr="00CA68F2">
              <w:rPr>
                <w:szCs w:val="24"/>
              </w:rPr>
              <w:t>Shows integrity and fairness in decision making;</w:t>
            </w:r>
          </w:p>
          <w:p w14:paraId="13E23F6C" w14:textId="77777777" w:rsidR="00CA68F2" w:rsidRPr="003C6D4B" w:rsidRDefault="00CA68F2" w:rsidP="00CA68F2">
            <w:pPr>
              <w:pStyle w:val="aTitle"/>
              <w:numPr>
                <w:ilvl w:val="0"/>
                <w:numId w:val="21"/>
              </w:numPr>
              <w:tabs>
                <w:tab w:val="clear" w:pos="4513"/>
                <w:tab w:val="clear" w:pos="9026"/>
              </w:tabs>
              <w:rPr>
                <w:rFonts w:cs="Arial"/>
                <w:b w:val="0"/>
                <w:iCs/>
                <w:noProof/>
                <w:color w:val="auto"/>
                <w:sz w:val="24"/>
                <w:szCs w:val="24"/>
                <w:lang w:eastAsia="en-GB"/>
              </w:rPr>
            </w:pPr>
            <w:r w:rsidRPr="00CA68F2">
              <w:rPr>
                <w:b w:val="0"/>
                <w:color w:val="auto"/>
                <w:sz w:val="24"/>
                <w:szCs w:val="24"/>
              </w:rPr>
              <w:t>Can demonstrate leadership.</w:t>
            </w:r>
          </w:p>
          <w:p w14:paraId="6735A7CF" w14:textId="77777777" w:rsidR="003C6D4B" w:rsidRDefault="003C6D4B" w:rsidP="003C6D4B">
            <w:pPr>
              <w:pStyle w:val="aTitle"/>
              <w:tabs>
                <w:tab w:val="clear" w:pos="4513"/>
                <w:tab w:val="clear" w:pos="9026"/>
              </w:tabs>
              <w:rPr>
                <w:rFonts w:cs="Arial"/>
                <w:b w:val="0"/>
                <w:iCs/>
                <w:noProof/>
                <w:color w:val="auto"/>
                <w:sz w:val="24"/>
                <w:szCs w:val="24"/>
              </w:rPr>
            </w:pPr>
          </w:p>
          <w:p w14:paraId="3EF02BDC" w14:textId="77777777" w:rsidR="003C6D4B" w:rsidRDefault="003C6D4B" w:rsidP="003C6D4B">
            <w:pPr>
              <w:pStyle w:val="aTitle"/>
              <w:tabs>
                <w:tab w:val="clear" w:pos="4513"/>
                <w:tab w:val="clear" w:pos="9026"/>
              </w:tabs>
              <w:rPr>
                <w:rFonts w:cs="Arial"/>
                <w:b w:val="0"/>
                <w:iCs/>
                <w:noProof/>
                <w:color w:val="auto"/>
                <w:sz w:val="24"/>
                <w:szCs w:val="24"/>
              </w:rPr>
            </w:pPr>
          </w:p>
          <w:p w14:paraId="18704BA4" w14:textId="77777777" w:rsidR="003C6D4B" w:rsidRDefault="003C6D4B" w:rsidP="003C6D4B">
            <w:pPr>
              <w:pStyle w:val="aTitle"/>
              <w:tabs>
                <w:tab w:val="clear" w:pos="4513"/>
                <w:tab w:val="clear" w:pos="9026"/>
              </w:tabs>
              <w:rPr>
                <w:rFonts w:cs="Arial"/>
                <w:b w:val="0"/>
                <w:iCs/>
                <w:noProof/>
                <w:color w:val="auto"/>
                <w:sz w:val="24"/>
                <w:szCs w:val="24"/>
              </w:rPr>
            </w:pPr>
          </w:p>
          <w:p w14:paraId="61CA4336" w14:textId="30E0D0A0" w:rsidR="003C6D4B" w:rsidRPr="00CA68F2" w:rsidRDefault="003C6D4B" w:rsidP="003C6D4B">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CA68F2" w:rsidRPr="00CA68F2" w:rsidRDefault="00CA68F2" w:rsidP="00CA68F2">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0FC8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
  </w:num>
  <w:num w:numId="4">
    <w:abstractNumId w:val="18"/>
  </w:num>
  <w:num w:numId="5">
    <w:abstractNumId w:val="1"/>
  </w:num>
  <w:num w:numId="6">
    <w:abstractNumId w:val="25"/>
  </w:num>
  <w:num w:numId="7">
    <w:abstractNumId w:val="29"/>
  </w:num>
  <w:num w:numId="8">
    <w:abstractNumId w:val="7"/>
  </w:num>
  <w:num w:numId="9">
    <w:abstractNumId w:val="28"/>
  </w:num>
  <w:num w:numId="10">
    <w:abstractNumId w:val="21"/>
  </w:num>
  <w:num w:numId="11">
    <w:abstractNumId w:val="5"/>
  </w:num>
  <w:num w:numId="12">
    <w:abstractNumId w:val="27"/>
  </w:num>
  <w:num w:numId="13">
    <w:abstractNumId w:val="26"/>
  </w:num>
  <w:num w:numId="14">
    <w:abstractNumId w:val="22"/>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4"/>
  </w:num>
  <w:num w:numId="27">
    <w:abstractNumId w:val="30"/>
  </w:num>
  <w:num w:numId="28">
    <w:abstractNumId w:val="11"/>
  </w:num>
  <w:num w:numId="29">
    <w:abstractNumId w:val="3"/>
  </w:num>
  <w:num w:numId="30">
    <w:abstractNumId w:val="12"/>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21D53"/>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F3062"/>
    <w:rsid w:val="003115A0"/>
    <w:rsid w:val="003125AA"/>
    <w:rsid w:val="00314FE8"/>
    <w:rsid w:val="003213F9"/>
    <w:rsid w:val="00322885"/>
    <w:rsid w:val="003456B3"/>
    <w:rsid w:val="00353A9F"/>
    <w:rsid w:val="003659EE"/>
    <w:rsid w:val="00394ABC"/>
    <w:rsid w:val="00394D61"/>
    <w:rsid w:val="003A7B4B"/>
    <w:rsid w:val="003B3B62"/>
    <w:rsid w:val="003C6D4B"/>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150E"/>
    <w:rsid w:val="00966278"/>
    <w:rsid w:val="00991A67"/>
    <w:rsid w:val="00992861"/>
    <w:rsid w:val="009A0774"/>
    <w:rsid w:val="009C150C"/>
    <w:rsid w:val="009C2757"/>
    <w:rsid w:val="009C3715"/>
    <w:rsid w:val="009C73E4"/>
    <w:rsid w:val="009D5809"/>
    <w:rsid w:val="009F6BC2"/>
    <w:rsid w:val="00A13BB0"/>
    <w:rsid w:val="00A1744E"/>
    <w:rsid w:val="00A20C2B"/>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A68F2"/>
    <w:rsid w:val="00CC2879"/>
    <w:rsid w:val="00CE186A"/>
    <w:rsid w:val="00D0359E"/>
    <w:rsid w:val="00D151A4"/>
    <w:rsid w:val="00D25915"/>
    <w:rsid w:val="00D32419"/>
    <w:rsid w:val="00D52C6F"/>
    <w:rsid w:val="00D63DC6"/>
    <w:rsid w:val="00D720CC"/>
    <w:rsid w:val="00D8718F"/>
    <w:rsid w:val="00D94B67"/>
    <w:rsid w:val="00DA30FB"/>
    <w:rsid w:val="00DA7401"/>
    <w:rsid w:val="00DE17BA"/>
    <w:rsid w:val="00DE1999"/>
    <w:rsid w:val="00DE41CE"/>
    <w:rsid w:val="00DE46D4"/>
    <w:rsid w:val="00DF49C8"/>
    <w:rsid w:val="00E017D3"/>
    <w:rsid w:val="00E078AA"/>
    <w:rsid w:val="00E25BE9"/>
    <w:rsid w:val="00E42BAB"/>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57E7"/>
    <w:rsid w:val="00F56695"/>
    <w:rsid w:val="00F61903"/>
    <w:rsid w:val="00F634FB"/>
    <w:rsid w:val="00F65F96"/>
    <w:rsid w:val="00F94D75"/>
    <w:rsid w:val="00FA74B8"/>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CA68F2"/>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ABBA3D-659D-43AD-8DA4-BE7FE94353B5}">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4</cp:revision>
  <cp:lastPrinted>2018-08-31T10:37:00Z</cp:lastPrinted>
  <dcterms:created xsi:type="dcterms:W3CDTF">2022-01-13T11:39:00Z</dcterms:created>
  <dcterms:modified xsi:type="dcterms:W3CDTF">2022-05-10T15:23:00Z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