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323F6" w14:textId="595877CB" w:rsidR="004E17BB" w:rsidRPr="00F02954" w:rsidRDefault="0065173B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4A788027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DE0386">
        <w:rPr>
          <w:rFonts w:ascii="Arial" w:hAnsi="Arial" w:cs="Arial"/>
          <w:b/>
          <w:bCs/>
        </w:rPr>
        <w:t xml:space="preserve"> General Assistant (PVH)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DE0386" w:rsidRPr="003613A7" w14:paraId="3B977BEB" w14:textId="272C166C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DE0386" w:rsidRPr="003613A7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DE0386" w:rsidRPr="003613A7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30F0CE95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6"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king in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kitc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he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/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onme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F8AF" w14:textId="72CAF53D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F56D7" w:rsidRPr="003613A7" w14:paraId="524AF2A5" w14:textId="77777777" w:rsidTr="002F56D7">
        <w:trPr>
          <w:trHeight w:val="1670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BBBF3" w14:textId="77777777" w:rsidR="002F56D7" w:rsidRPr="003613A7" w:rsidRDefault="002F56D7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8660D47" w14:textId="2D5F8516" w:rsidR="002F56D7" w:rsidRPr="003613A7" w:rsidRDefault="002F56D7" w:rsidP="002F56D7">
            <w:pPr>
              <w:spacing w:line="271" w:lineRule="exact"/>
              <w:ind w:right="-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ity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de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lop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k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no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and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x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pe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ce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He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lth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ty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re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la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Pr="00DE0386"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rtak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Le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l 2 Fo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 w:rsidRPr="00DE0386"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rt</w:t>
            </w:r>
            <w:r w:rsidRPr="00DE0386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DE0386"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ic</w:t>
            </w:r>
            <w:r w:rsidRPr="00DE0386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DE0386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DE0386">
              <w:rPr>
                <w:rFonts w:ascii="Arial" w:eastAsia="Arial" w:hAnsi="Arial" w:cs="Arial"/>
                <w:spacing w:val="1"/>
                <w:sz w:val="20"/>
                <w:szCs w:val="20"/>
              </w:rPr>
              <w:t>e or equivalent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1838E2" w14:textId="6F2F0BBC" w:rsidR="002F56D7" w:rsidRPr="003613A7" w:rsidRDefault="002F56D7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476B857C" w14:textId="79A54E67" w:rsidTr="003613A7">
        <w:trPr>
          <w:trHeight w:val="82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579190" w14:textId="39912EF8" w:rsidR="00DE0386" w:rsidRPr="00DE0386" w:rsidRDefault="00DE0386" w:rsidP="00DE038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Be able to provide excellent customer service by being able to delight customers and deliver high quality tailored services to meet needs and exceed expectations.</w:t>
            </w:r>
          </w:p>
          <w:p w14:paraId="5B2A7A58" w14:textId="77777777" w:rsidR="00DE0386" w:rsidRPr="00DE0386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0546C2E9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066C9AB4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3884F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C520AF6" w14:textId="11BCD4FE" w:rsidR="00DE0386" w:rsidRPr="00DE0386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Able to work effectively within a busy team environment, or independently.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CB8" w14:textId="06B01C65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7A195A9E" w14:textId="77777777" w:rsidTr="003613A7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779C6E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1F5EF8" w14:textId="5E02CFEE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Able to work at a fast pace and cope well with a higher level of workload.</w:t>
            </w:r>
          </w:p>
          <w:p w14:paraId="75D08A78" w14:textId="7D7D80C7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15C7" w14:textId="2D3E0790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1CA6557F" w14:textId="77777777" w:rsidTr="002F56D7">
        <w:trPr>
          <w:trHeight w:val="521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30D9C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759B5D" w14:textId="7ABD06C7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Able to take a practical approach.</w:t>
            </w:r>
          </w:p>
          <w:p w14:paraId="4DDE147B" w14:textId="2F5622DF" w:rsidR="00DE0386" w:rsidRPr="00DE0386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816F" w14:textId="3FB4F3FB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34CC3D40" w14:textId="77777777" w:rsidTr="002F56D7">
        <w:trPr>
          <w:trHeight w:val="557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F0101E6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B2A362" w14:textId="0375C9BB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Able to pay attention to detail.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9D60" w14:textId="2A467DD7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7171255A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886C96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AC0354B" w14:textId="47F757FC" w:rsidR="00DE0386" w:rsidRPr="00DE0386" w:rsidRDefault="00DE0386" w:rsidP="002F56D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  <w:p w14:paraId="25E971FE" w14:textId="77777777" w:rsid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D1F4" w14:textId="6D5658ED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07481812" w14:textId="77777777" w:rsidTr="002F56D7">
        <w:trPr>
          <w:trHeight w:val="666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33FF45B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8DF3F1" w14:textId="2F8F354B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Able to follow rules and stick to procedures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36D3" w14:textId="249E624D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332AACD9" w14:textId="77777777" w:rsidTr="002F56D7">
        <w:trPr>
          <w:trHeight w:val="704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E2CF26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6866CD2" w14:textId="6971331A" w:rsidR="00DE0386" w:rsidRPr="00DE0386" w:rsidRDefault="00DE0386" w:rsidP="002F56D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>Able to make decisions and reach conclusions.</w:t>
            </w:r>
          </w:p>
          <w:p w14:paraId="2031BDAC" w14:textId="77777777" w:rsidR="00DE0386" w:rsidRPr="00DE0386" w:rsidRDefault="00DE0386" w:rsidP="002F56D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334C" w14:textId="6B2DF485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46AC623E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4FE00AE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BE1C57F" w14:textId="6A00286E" w:rsidR="00DE0386" w:rsidRPr="00DE0386" w:rsidRDefault="00DE0386" w:rsidP="002F56D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 xml:space="preserve">Be able to communicate </w:t>
            </w:r>
            <w:r w:rsidR="0027749F">
              <w:rPr>
                <w:rFonts w:ascii="Arial" w:hAnsi="Arial" w:cs="Arial"/>
                <w:sz w:val="20"/>
                <w:szCs w:val="20"/>
              </w:rPr>
              <w:t>effectively using a variety of methods</w:t>
            </w:r>
            <w:r w:rsidRPr="00DE0386">
              <w:rPr>
                <w:rFonts w:ascii="Arial" w:hAnsi="Arial" w:cs="Arial"/>
                <w:sz w:val="20"/>
                <w:szCs w:val="20"/>
              </w:rPr>
              <w:t xml:space="preserve"> to share and obtain information.</w:t>
            </w:r>
          </w:p>
          <w:p w14:paraId="1F6CD7B3" w14:textId="77777777" w:rsid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A241" w14:textId="5D0A7645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25AA2889" w14:textId="77777777" w:rsidTr="003613A7">
        <w:trPr>
          <w:trHeight w:val="828"/>
        </w:trPr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BB7D27F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131F64" w14:textId="688398CB" w:rsidR="00DE0386" w:rsidRPr="00DE0386" w:rsidRDefault="00DE0386" w:rsidP="00DE0386">
            <w:pPr>
              <w:suppressAutoHyphens w:val="0"/>
              <w:overflowPunct/>
              <w:autoSpaceDE/>
              <w:autoSpaceDN/>
              <w:ind w:left="-42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DE0386">
              <w:rPr>
                <w:rFonts w:ascii="Arial" w:hAnsi="Arial" w:cs="Arial"/>
                <w:sz w:val="20"/>
                <w:szCs w:val="20"/>
              </w:rPr>
              <w:t xml:space="preserve">Listens to others to assess requirements </w:t>
            </w:r>
            <w:proofErr w:type="gramStart"/>
            <w:r w:rsidRPr="00DE0386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DE0386">
              <w:rPr>
                <w:rFonts w:ascii="Arial" w:hAnsi="Arial" w:cs="Arial"/>
                <w:sz w:val="20"/>
                <w:szCs w:val="20"/>
              </w:rPr>
              <w:t xml:space="preserve"> respond appropriately and efficiently.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FD37" w14:textId="75681AE4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71F1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DE0386" w:rsidRPr="003613A7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DE0386" w:rsidRPr="003613A7" w:rsidRDefault="00DE0386" w:rsidP="00D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51A5726F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Code of Conduct,</w:t>
            </w:r>
            <w:r w:rsidRPr="00B076C8">
              <w:rPr>
                <w:rFonts w:ascii="Arial" w:hAnsi="Arial" w:cs="Arial"/>
                <w:sz w:val="20"/>
                <w:szCs w:val="20"/>
              </w:rPr>
              <w:t xml:space="preserve"> Child Protection </w:t>
            </w:r>
            <w:proofErr w:type="gramStart"/>
            <w:r w:rsidRPr="00B076C8">
              <w:rPr>
                <w:rFonts w:ascii="Arial" w:hAnsi="Arial" w:cs="Arial"/>
                <w:sz w:val="20"/>
                <w:szCs w:val="20"/>
              </w:rPr>
              <w:t>Policy</w:t>
            </w:r>
            <w:proofErr w:type="gramEnd"/>
            <w:r w:rsidRPr="00B076C8">
              <w:rPr>
                <w:rFonts w:ascii="Arial" w:hAnsi="Arial" w:cs="Arial"/>
                <w:sz w:val="20"/>
                <w:szCs w:val="20"/>
              </w:rPr>
              <w:t xml:space="preserve"> and all other Council Policies</w:t>
            </w:r>
          </w:p>
          <w:p w14:paraId="6227336B" w14:textId="4358E5F5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1C00C7C4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Compliance with health and safety rules, regulations, and legislation</w:t>
            </w:r>
          </w:p>
          <w:p w14:paraId="1EB5D265" w14:textId="77777777" w:rsidR="00DE0386" w:rsidRPr="003613A7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64FC6D0A" w:rsidR="00DE0386" w:rsidRPr="003613A7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52E9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DE0386" w:rsidRPr="003613A7" w14:paraId="03B67E19" w14:textId="77777777" w:rsidTr="003613A7"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9D1628" w14:textId="77777777" w:rsidR="00DE0386" w:rsidRPr="003613A7" w:rsidRDefault="00DE0386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67E2F5" w14:textId="231BF182" w:rsidR="00DE0386" w:rsidRPr="00DE0386" w:rsidRDefault="00DE0386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Ability to work outside of normal working hours to meet the needs of the service</w:t>
            </w:r>
            <w:r w:rsidR="0027749F">
              <w:rPr>
                <w:rFonts w:ascii="Arial" w:eastAsia="MS Mincho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B675" w14:textId="30F8B946" w:rsidR="00DE0386" w:rsidRPr="00FA52E9" w:rsidRDefault="00DE0386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68D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22AAE" w:rsidRPr="003613A7" w14:paraId="699BFBDF" w14:textId="77777777" w:rsidTr="00157141">
        <w:trPr>
          <w:trHeight w:val="240"/>
        </w:trPr>
        <w:tc>
          <w:tcPr>
            <w:tcW w:w="309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8C6915B" w14:textId="77777777" w:rsidR="00222AAE" w:rsidRPr="003613A7" w:rsidRDefault="00222AAE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4061F59" w14:textId="77777777" w:rsidR="00222AAE" w:rsidRPr="00DE0386" w:rsidRDefault="00222AAE" w:rsidP="00DE0386">
            <w:pPr>
              <w:suppressAutoHyphens w:val="0"/>
              <w:overflowPunct/>
              <w:autoSpaceDE/>
              <w:autoSpaceDN/>
              <w:textAlignment w:val="auto"/>
              <w:rPr>
                <w:rFonts w:ascii="Arial" w:eastAsia="MS Mincho" w:hAnsi="Arial" w:cs="Arial"/>
                <w:b/>
                <w:sz w:val="20"/>
                <w:szCs w:val="20"/>
              </w:rPr>
            </w:pPr>
            <w:r w:rsidRPr="00DE0386">
              <w:rPr>
                <w:rFonts w:ascii="Arial" w:eastAsia="MS Mincho" w:hAnsi="Arial" w:cs="Arial"/>
                <w:sz w:val="20"/>
                <w:szCs w:val="20"/>
              </w:rPr>
              <w:t>Ability to meet the travel requirements of the post</w:t>
            </w:r>
          </w:p>
          <w:p w14:paraId="64C315BD" w14:textId="77777777" w:rsidR="00222AAE" w:rsidRPr="003613A7" w:rsidRDefault="00222AAE" w:rsidP="00DE038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5F104" w14:textId="50E8745E" w:rsidR="00222AAE" w:rsidRPr="00FA52E9" w:rsidRDefault="00222AAE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668D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22AAE" w:rsidRPr="003613A7" w14:paraId="18DF6B59" w14:textId="77777777" w:rsidTr="00157141">
        <w:tc>
          <w:tcPr>
            <w:tcW w:w="3097" w:type="dxa"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F3B50" w14:textId="77777777" w:rsidR="00222AAE" w:rsidRPr="003613A7" w:rsidRDefault="00222AAE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92317F8" w14:textId="77777777" w:rsidR="00222AAE" w:rsidRPr="00B076C8" w:rsidRDefault="00222AAE" w:rsidP="00DE03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B6FDE" w14:textId="430CD037" w:rsidR="00222AAE" w:rsidRPr="00FA52E9" w:rsidRDefault="00222AAE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2AAE" w:rsidRPr="003613A7" w14:paraId="57C7FB9A" w14:textId="77777777" w:rsidTr="00157141">
        <w:tc>
          <w:tcPr>
            <w:tcW w:w="3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0C4ABF8" w14:textId="77777777" w:rsidR="00222AAE" w:rsidRPr="003613A7" w:rsidRDefault="00222AAE" w:rsidP="00DE03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406009D" w14:textId="77777777" w:rsidR="00222AAE" w:rsidRPr="00B076C8" w:rsidRDefault="00222AAE" w:rsidP="00DE0386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277BA" w14:textId="51B29750" w:rsidR="00222AAE" w:rsidRPr="00FA52E9" w:rsidRDefault="00222AAE" w:rsidP="00DE03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A09"/>
    <w:multiLevelType w:val="hybridMultilevel"/>
    <w:tmpl w:val="5646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9606C"/>
    <w:multiLevelType w:val="hybridMultilevel"/>
    <w:tmpl w:val="BC083A0E"/>
    <w:lvl w:ilvl="0" w:tplc="07B02C2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077DF"/>
    <w:multiLevelType w:val="hybridMultilevel"/>
    <w:tmpl w:val="EAE8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3FAA"/>
    <w:multiLevelType w:val="hybridMultilevel"/>
    <w:tmpl w:val="4E4A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42FF5"/>
    <w:rsid w:val="001C5961"/>
    <w:rsid w:val="001F1FF1"/>
    <w:rsid w:val="00222AAE"/>
    <w:rsid w:val="0027749F"/>
    <w:rsid w:val="002C0BA8"/>
    <w:rsid w:val="002E41AC"/>
    <w:rsid w:val="002F56D7"/>
    <w:rsid w:val="00316D08"/>
    <w:rsid w:val="0033379F"/>
    <w:rsid w:val="003613A7"/>
    <w:rsid w:val="003716D4"/>
    <w:rsid w:val="00393E23"/>
    <w:rsid w:val="00407726"/>
    <w:rsid w:val="004300EF"/>
    <w:rsid w:val="00436424"/>
    <w:rsid w:val="0044225A"/>
    <w:rsid w:val="004E17BB"/>
    <w:rsid w:val="00505CB1"/>
    <w:rsid w:val="00532716"/>
    <w:rsid w:val="0065173B"/>
    <w:rsid w:val="00701B90"/>
    <w:rsid w:val="00767ADA"/>
    <w:rsid w:val="007E35B6"/>
    <w:rsid w:val="008F0E31"/>
    <w:rsid w:val="0094206E"/>
    <w:rsid w:val="00956CE2"/>
    <w:rsid w:val="00957BAE"/>
    <w:rsid w:val="009E2A4B"/>
    <w:rsid w:val="00A1684E"/>
    <w:rsid w:val="00BD2151"/>
    <w:rsid w:val="00C0099D"/>
    <w:rsid w:val="00C22177"/>
    <w:rsid w:val="00D27680"/>
    <w:rsid w:val="00D6093F"/>
    <w:rsid w:val="00D8670D"/>
    <w:rsid w:val="00DE0386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BEC4DFA245A41A8A087C0AD8F4A65" ma:contentTypeVersion="15" ma:contentTypeDescription="Create a new document." ma:contentTypeScope="" ma:versionID="8515d09daf07e4afc94a8db43373ceed">
  <xsd:schema xmlns:xsd="http://www.w3.org/2001/XMLSchema" xmlns:xs="http://www.w3.org/2001/XMLSchema" xmlns:p="http://schemas.microsoft.com/office/2006/metadata/properties" xmlns:ns2="9f8b2057-8571-43f1-89d8-04dcb45c61d7" xmlns:ns3="90b2ce22-5f08-499d-8a51-a55788aa8ef6" xmlns:ns4="0862de27-bf98-42c3-9af4-81ee2ef416fb" targetNamespace="http://schemas.microsoft.com/office/2006/metadata/properties" ma:root="true" ma:fieldsID="6a5c8c2d64573e2a6dc7c1138b4db26f" ns2:_="" ns3:_="" ns4:_="">
    <xsd:import namespace="9f8b2057-8571-43f1-89d8-04dcb45c61d7"/>
    <xsd:import namespace="90b2ce22-5f08-499d-8a51-a55788aa8ef6"/>
    <xsd:import namespace="0862de27-bf98-42c3-9af4-81ee2ef416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b2057-8571-43f1-89d8-04dcb45c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6d91010-7741-4787-973f-69774252c9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2ce22-5f08-499d-8a51-a55788aa8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2de27-bf98-42c3-9af4-81ee2ef416fb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58bfe6-189d-489e-b61d-82e3891b2c96}" ma:internalName="TaxCatchAll" ma:showField="CatchAllData" ma:web="90b2ce22-5f08-499d-8a51-a55788aa8e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62de27-bf98-42c3-9af4-81ee2ef416fb" xsi:nil="true"/>
    <lcf76f155ced4ddcb4097134ff3c332f xmlns="9f8b2057-8571-43f1-89d8-04dcb45c61d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A29AC8-3BB3-42A0-A4B0-307D143C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8b2057-8571-43f1-89d8-04dcb45c61d7"/>
    <ds:schemaRef ds:uri="90b2ce22-5f08-499d-8a51-a55788aa8ef6"/>
    <ds:schemaRef ds:uri="0862de27-bf98-42c3-9af4-81ee2ef41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9E446-AC76-4DFB-B8C1-6292996D1D7C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8265062-9430-4a4d-8486-4d6b9b2ca3b3"/>
    <ds:schemaRef ds:uri="http://schemas.microsoft.com/office/2006/documentManagement/types"/>
    <ds:schemaRef ds:uri="bde93fc4-1533-4d02-bf3d-6d6d0a537a28"/>
    <ds:schemaRef ds:uri="http://www.w3.org/XML/1998/namespace"/>
    <ds:schemaRef ds:uri="http://purl.org/dc/dcmitype/"/>
    <ds:schemaRef ds:uri="0862de27-bf98-42c3-9af4-81ee2ef416fb"/>
    <ds:schemaRef ds:uri="9f8b2057-8571-43f1-89d8-04dcb45c61d7"/>
  </ds:schemaRefs>
</ds:datastoreItem>
</file>

<file path=customXml/itemProps4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Judy Blackett</cp:lastModifiedBy>
  <cp:revision>5</cp:revision>
  <dcterms:created xsi:type="dcterms:W3CDTF">2022-05-05T09:31:00Z</dcterms:created>
  <dcterms:modified xsi:type="dcterms:W3CDTF">2022-07-04T08:51:00Z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0x0101009C4400972C7E8848837F0731B79FA5F3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  <property fmtid="{D5CDD505-2E9C-101B-9397-08002B2CF9AE}" pid="10" name="MediaServiceImageTags">
    <vt:lpwstr/>
  </property>
</Properties>
</file>