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3D3BAF99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003663">
        <w:rPr>
          <w:rFonts w:ascii="Arial" w:hAnsi="Arial" w:cs="Arial"/>
          <w:b/>
          <w:bCs/>
        </w:rPr>
        <w:t xml:space="preserve"> Temporary Accommodation Officer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4715"/>
        <w:gridCol w:w="2930"/>
      </w:tblGrid>
      <w:tr w:rsidR="004300EF" w:rsidRPr="0065173B" w14:paraId="65D346DA" w14:textId="2B10761C" w:rsidTr="006B78FA">
        <w:trPr>
          <w:trHeight w:val="274"/>
        </w:trPr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A631ED" w:rsidRPr="003613A7" w14:paraId="3B977BEB" w14:textId="272C166C" w:rsidTr="00A631ED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A631ED" w:rsidRPr="003613A7" w:rsidRDefault="00A631ED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A631ED" w:rsidRPr="003613A7" w:rsidRDefault="00A631ED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14674" w14:textId="4E2C06E0" w:rsidR="00A631ED" w:rsidRPr="00831E39" w:rsidRDefault="00A631ED" w:rsidP="00C77A2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831E39">
              <w:rPr>
                <w:rFonts w:ascii="Arial" w:hAnsi="Arial"/>
                <w:sz w:val="20"/>
                <w:szCs w:val="20"/>
              </w:rPr>
              <w:t>Experience of working within a housing, homelessness or support related service</w:t>
            </w:r>
          </w:p>
          <w:p w14:paraId="45C9F1A5" w14:textId="49B1D691" w:rsidR="00A631ED" w:rsidRPr="003613A7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4F8AF" w14:textId="79352E6C" w:rsidR="00A631ED" w:rsidRPr="003613A7" w:rsidRDefault="00A631ED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AC2AEE">
              <w:rPr>
                <w:rFonts w:ascii="Arial" w:hAnsi="Arial" w:cs="Arial"/>
                <w:color w:val="000000"/>
                <w:sz w:val="20"/>
                <w:szCs w:val="20"/>
              </w:rPr>
              <w:t xml:space="preserve"> / Interview</w:t>
            </w:r>
          </w:p>
        </w:tc>
      </w:tr>
      <w:tr w:rsidR="00A631ED" w:rsidRPr="003613A7" w14:paraId="12B92421" w14:textId="77777777" w:rsidTr="004E1FDC"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4906CB" w14:textId="77777777" w:rsidR="00A631ED" w:rsidRPr="003613A7" w:rsidRDefault="00A631ED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702471" w14:textId="666B1270" w:rsidR="00A631ED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831E39">
              <w:rPr>
                <w:rFonts w:ascii="Arial" w:hAnsi="Arial"/>
                <w:sz w:val="20"/>
                <w:szCs w:val="20"/>
              </w:rPr>
              <w:t>Experience of supporting vulnerable people, and enabling such to move towards independent living</w:t>
            </w:r>
          </w:p>
          <w:p w14:paraId="2D9666EC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74904" w14:textId="0823FA20" w:rsidR="00A631ED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631ED" w:rsidRPr="003613A7" w14:paraId="57152B21" w14:textId="77777777" w:rsidTr="004E1FDC"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418198" w14:textId="77777777" w:rsidR="00A631ED" w:rsidRPr="003613A7" w:rsidRDefault="00A631ED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157631" w14:textId="1DE23CFD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831E39">
              <w:rPr>
                <w:rFonts w:ascii="Arial" w:hAnsi="Arial"/>
                <w:sz w:val="20"/>
                <w:szCs w:val="20"/>
              </w:rPr>
              <w:t xml:space="preserve">Experience of creating partnerships with providers of temporary accommodation and private landlords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404B3" w14:textId="673F63E8" w:rsidR="00A631ED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631ED" w:rsidRPr="003613A7" w14:paraId="5C89419E" w14:textId="77777777" w:rsidTr="004E1FDC"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A95180" w14:textId="77777777" w:rsidR="00A631ED" w:rsidRPr="003613A7" w:rsidRDefault="00A631ED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E26004" w14:textId="21D28A0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31E39">
              <w:rPr>
                <w:rFonts w:ascii="Arial" w:hAnsi="Arial" w:cs="Arial"/>
                <w:sz w:val="20"/>
                <w:szCs w:val="20"/>
              </w:rPr>
              <w:t>A good track record of providing and delivering effective solutions for housing, vulnerable people and homeless people.</w:t>
            </w:r>
          </w:p>
          <w:p w14:paraId="2EA8750A" w14:textId="6EB131FF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83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EDCCC" w14:textId="05E8A3A9" w:rsidR="00A631ED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631ED" w:rsidRPr="003613A7" w14:paraId="6CADB826" w14:textId="77777777" w:rsidTr="004E1FDC"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5AEDB2" w14:textId="77777777" w:rsidR="00A631ED" w:rsidRPr="003613A7" w:rsidRDefault="00A631ED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D7FF1F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31E39">
              <w:rPr>
                <w:rFonts w:ascii="Arial" w:hAnsi="Arial" w:cs="Arial"/>
                <w:sz w:val="20"/>
                <w:szCs w:val="20"/>
              </w:rPr>
              <w:t>Experience of working with a range of partners to deliver innovative housing solutions, particularly regarding the use of temporary accommodation</w:t>
            </w:r>
          </w:p>
          <w:p w14:paraId="345DAD37" w14:textId="1C8755F4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AF1DF" w14:textId="48DB3ED8" w:rsidR="00A631ED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631ED" w:rsidRPr="003613A7" w14:paraId="604DDBCE" w14:textId="77777777" w:rsidTr="004E1FDC"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C8992A" w14:textId="77777777" w:rsidR="00A631ED" w:rsidRPr="003613A7" w:rsidRDefault="00A631ED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D760AC" w14:textId="77777777" w:rsidR="00A631ED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31E39">
              <w:rPr>
                <w:rFonts w:ascii="Arial" w:hAnsi="Arial" w:cs="Arial"/>
                <w:sz w:val="20"/>
                <w:szCs w:val="20"/>
              </w:rPr>
              <w:t>Experience of overseeing temporary accommodation.</w:t>
            </w:r>
          </w:p>
          <w:p w14:paraId="7DA8C09D" w14:textId="3428587C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237A7" w14:textId="1E06C401" w:rsidR="00A631ED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631ED" w:rsidRPr="003613A7" w14:paraId="476B857C" w14:textId="79A54E67" w:rsidTr="00A631ED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A631ED" w:rsidRPr="003613A7" w:rsidRDefault="00A631ED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A631ED" w:rsidRPr="003613A7" w:rsidRDefault="00A631ED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A631ED" w:rsidRPr="003613A7" w:rsidRDefault="00A631ED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A631ED" w:rsidRPr="003613A7" w:rsidRDefault="00A631ED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07CFA3" w14:textId="2C3830EA" w:rsidR="00A631ED" w:rsidRPr="00831E39" w:rsidRDefault="00A631ED" w:rsidP="006B78FA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31E39">
              <w:rPr>
                <w:rFonts w:ascii="Arial" w:hAnsi="Arial" w:cs="Arial"/>
                <w:sz w:val="20"/>
                <w:szCs w:val="20"/>
              </w:rPr>
              <w:t>Knowledge of Housing and Homelessness legislation, Code of Guidance and Homeless Reduction Act 2017.</w:t>
            </w:r>
          </w:p>
          <w:p w14:paraId="5B2A7A58" w14:textId="424D000D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DB6C9" w14:textId="2878BB98" w:rsidR="00A631ED" w:rsidRPr="003613A7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631ED" w:rsidRPr="003613A7" w14:paraId="3BDDEE11" w14:textId="77777777" w:rsidTr="0026756F"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DA0398" w14:textId="77777777" w:rsidR="00A631ED" w:rsidRPr="003613A7" w:rsidRDefault="00A631ED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37D449" w14:textId="646436C8" w:rsidR="00A631ED" w:rsidRPr="00A631ED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31E39">
              <w:rPr>
                <w:rFonts w:ascii="Arial" w:hAnsi="Arial" w:cs="Arial"/>
                <w:sz w:val="20"/>
                <w:szCs w:val="20"/>
              </w:rPr>
              <w:t>In depth knowledge of vulnerable people and the housing challenges they can face</w:t>
            </w:r>
          </w:p>
          <w:p w14:paraId="3EC8C997" w14:textId="77777777" w:rsidR="00A631ED" w:rsidRPr="00831E39" w:rsidRDefault="00A631ED" w:rsidP="006B78FA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A8ADC" w14:textId="3AC17A8E" w:rsidR="00A631ED" w:rsidRPr="007807D3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631ED" w:rsidRPr="003613A7" w14:paraId="59FA01AE" w14:textId="77777777" w:rsidTr="0026756F"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BC4916" w14:textId="77777777" w:rsidR="00A631ED" w:rsidRPr="003613A7" w:rsidRDefault="00A631ED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7A8375" w14:textId="6CC739BF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831E39">
              <w:rPr>
                <w:rFonts w:ascii="Arial" w:hAnsi="Arial"/>
                <w:sz w:val="20"/>
                <w:szCs w:val="20"/>
              </w:rPr>
              <w:t>Ability to deal with people effectively and sympathetically in sometimes difficult and sensitive situations as well as making and relaying difficult decisions in line with legislation.</w:t>
            </w:r>
          </w:p>
          <w:p w14:paraId="124CB985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5E5B4" w14:textId="2B87663D" w:rsidR="00A631ED" w:rsidRPr="007807D3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631ED" w:rsidRPr="003613A7" w14:paraId="384988A2" w14:textId="77777777" w:rsidTr="0026756F"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A2AD38" w14:textId="77777777" w:rsidR="00A631ED" w:rsidRPr="003613A7" w:rsidRDefault="00A631ED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A4532B" w14:textId="0293F8FC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831E39">
              <w:rPr>
                <w:rFonts w:ascii="Arial" w:hAnsi="Arial"/>
                <w:sz w:val="20"/>
                <w:szCs w:val="20"/>
              </w:rPr>
              <w:t xml:space="preserve">Ability </w:t>
            </w:r>
            <w:r w:rsidRPr="00831E39">
              <w:rPr>
                <w:rFonts w:ascii="Arial" w:hAnsi="Arial" w:cs="Arial"/>
                <w:sz w:val="20"/>
                <w:szCs w:val="20"/>
              </w:rPr>
              <w:t xml:space="preserve">to persuade, negotiate and influence effectively especially when liaising with </w:t>
            </w:r>
            <w:r w:rsidRPr="00831E39">
              <w:rPr>
                <w:rFonts w:ascii="Arial" w:hAnsi="Arial"/>
                <w:sz w:val="20"/>
                <w:szCs w:val="20"/>
              </w:rPr>
              <w:t>other agencies in order to achieve the best results for all concerned</w:t>
            </w:r>
          </w:p>
          <w:p w14:paraId="73DC3201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74972" w14:textId="046A0509" w:rsidR="00A631ED" w:rsidRPr="007807D3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631ED" w:rsidRPr="003613A7" w14:paraId="5F9D0FF2" w14:textId="77777777" w:rsidTr="0026756F"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FA875" w14:textId="77777777" w:rsidR="00A631ED" w:rsidRPr="003613A7" w:rsidRDefault="00A631ED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AF545E" w14:textId="4F5E5E1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31E39">
              <w:rPr>
                <w:rFonts w:ascii="Arial" w:hAnsi="Arial"/>
                <w:sz w:val="20"/>
                <w:szCs w:val="20"/>
              </w:rPr>
              <w:t>Ability to write, implement and support people through robust support plans</w:t>
            </w:r>
            <w:r w:rsidR="00287F4A">
              <w:rPr>
                <w:rFonts w:ascii="Arial" w:hAnsi="Arial"/>
                <w:sz w:val="20"/>
                <w:szCs w:val="20"/>
              </w:rPr>
              <w:t xml:space="preserve">. </w:t>
            </w:r>
            <w:r w:rsidRPr="00831E39">
              <w:rPr>
                <w:rFonts w:ascii="Arial" w:hAnsi="Arial" w:cs="Arial"/>
                <w:sz w:val="20"/>
                <w:szCs w:val="20"/>
              </w:rPr>
              <w:t xml:space="preserve">Good verbal and written communication skills and be computer literate with the ability to write accurate and factual letters. </w:t>
            </w:r>
          </w:p>
          <w:p w14:paraId="575E8B29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0D8B12" w14:textId="724FD9B2" w:rsidR="00A631ED" w:rsidRPr="007807D3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631ED" w:rsidRPr="003613A7" w14:paraId="496490AA" w14:textId="77777777" w:rsidTr="0026756F"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8E3A12" w14:textId="77777777" w:rsidR="00A631ED" w:rsidRPr="003613A7" w:rsidRDefault="00A631ED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260A18" w14:textId="31E332E1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831E39">
              <w:rPr>
                <w:rFonts w:ascii="Arial" w:hAnsi="Arial"/>
                <w:sz w:val="20"/>
                <w:szCs w:val="20"/>
              </w:rPr>
              <w:t>Ability to organise a caseload and work with minimum supervision but also be able to work as part of a team and support other colleagues in their roles</w:t>
            </w:r>
          </w:p>
          <w:p w14:paraId="2556807C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BD484" w14:textId="7C5F810A" w:rsidR="00A631ED" w:rsidRPr="007807D3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631ED" w:rsidRPr="003613A7" w14:paraId="553A6D92" w14:textId="77777777" w:rsidTr="0026756F"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D52216" w14:textId="77777777" w:rsidR="00A631ED" w:rsidRPr="003613A7" w:rsidRDefault="00A631ED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8A4F62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31E39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</w:p>
          <w:p w14:paraId="7E14382B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</w:p>
          <w:p w14:paraId="2E89B016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50CD6" w14:textId="76E654BD" w:rsidR="00A631ED" w:rsidRPr="007807D3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631ED" w:rsidRPr="003613A7" w14:paraId="36F90CF1" w14:textId="77777777" w:rsidTr="0026756F"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30B83E" w14:textId="77777777" w:rsidR="00A631ED" w:rsidRPr="003613A7" w:rsidRDefault="00A631ED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7239EB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31E39">
              <w:rPr>
                <w:rFonts w:ascii="Arial" w:eastAsia="MS Mincho" w:hAnsi="Arial" w:cs="Arial"/>
                <w:sz w:val="20"/>
                <w:szCs w:val="20"/>
              </w:rPr>
              <w:t>Be socially confident and self-assured when meeting new people and be</w:t>
            </w:r>
            <w:r w:rsidRPr="00831E39">
              <w:rPr>
                <w:rFonts w:ascii="Arial" w:hAnsi="Arial" w:cs="Arial"/>
                <w:sz w:val="20"/>
                <w:szCs w:val="20"/>
              </w:rPr>
              <w:t xml:space="preserve"> able to adapt behaviour to suit the situation or customer.</w:t>
            </w:r>
          </w:p>
          <w:p w14:paraId="2918F998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BF23E" w14:textId="7D4DDD74" w:rsidR="00A631ED" w:rsidRPr="007807D3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631ED" w:rsidRPr="003613A7" w14:paraId="0CDCCF0A" w14:textId="77777777" w:rsidTr="0026756F"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85DC59" w14:textId="77777777" w:rsidR="00A631ED" w:rsidRPr="003613A7" w:rsidRDefault="00A631ED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612ACA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31E39">
              <w:rPr>
                <w:rFonts w:ascii="Arial" w:hAnsi="Arial" w:cs="Arial"/>
                <w:sz w:val="20"/>
                <w:szCs w:val="20"/>
              </w:rPr>
              <w:t xml:space="preserve">Able to deal with opinions and feelings as well as facts, figures and numerical data especially when providing information for Government returns or Freedom of Information Requests </w:t>
            </w:r>
          </w:p>
          <w:p w14:paraId="28630BFD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FB196" w14:textId="2F35A2A7" w:rsidR="00A631ED" w:rsidRPr="007807D3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631ED" w:rsidRPr="003613A7" w14:paraId="39F2F5F4" w14:textId="77777777" w:rsidTr="0026756F"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5853FF" w14:textId="77777777" w:rsidR="00A631ED" w:rsidRPr="003613A7" w:rsidRDefault="00A631ED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300254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831E39">
              <w:rPr>
                <w:rFonts w:ascii="Arial" w:hAnsi="Arial" w:cs="Arial"/>
                <w:sz w:val="20"/>
                <w:szCs w:val="20"/>
              </w:rPr>
              <w:t>Able to conceal emotions or feelings in the workplace.</w:t>
            </w:r>
          </w:p>
          <w:p w14:paraId="269B0B6B" w14:textId="77777777" w:rsidR="00A631ED" w:rsidRPr="00831E39" w:rsidRDefault="00A631ED" w:rsidP="00A631E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1E10A" w14:textId="37ADAFB8" w:rsidR="00A631ED" w:rsidRPr="007807D3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4D2A3695" w14:textId="7C93B172" w:rsidTr="00A631ED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1D3AF186" w:rsidR="003613A7" w:rsidRPr="003613A7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1FB3E148" w14:textId="77777777" w:rsidTr="00A631ED"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Compliance with health and safety rules, </w:t>
            </w:r>
            <w:r w:rsidR="00DF22F5" w:rsidRPr="003613A7">
              <w:rPr>
                <w:rFonts w:ascii="Arial" w:hAnsi="Arial" w:cs="Arial"/>
                <w:color w:val="000000"/>
                <w:sz w:val="20"/>
                <w:szCs w:val="20"/>
              </w:rPr>
              <w:t>regulations,</w:t>
            </w: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legislation</w:t>
            </w:r>
          </w:p>
          <w:p w14:paraId="1EB5D265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795066AF" w:rsidR="003613A7" w:rsidRPr="003613A7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221B5C4C" w14:textId="77777777" w:rsidTr="00A631ED"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C7387D" w14:textId="77777777" w:rsid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  <w:p w14:paraId="0AEE8512" w14:textId="7BD63BF6" w:rsidR="00A631ED" w:rsidRPr="003613A7" w:rsidRDefault="00A631ED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1C8052F1" w:rsidR="003613A7" w:rsidRPr="003613A7" w:rsidRDefault="00AC2A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169"/>
    <w:multiLevelType w:val="hybridMultilevel"/>
    <w:tmpl w:val="F69A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0AD"/>
    <w:multiLevelType w:val="hybridMultilevel"/>
    <w:tmpl w:val="46C6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93ADC"/>
    <w:multiLevelType w:val="hybridMultilevel"/>
    <w:tmpl w:val="8F86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03663"/>
    <w:rsid w:val="0002648F"/>
    <w:rsid w:val="00064CC2"/>
    <w:rsid w:val="000726A7"/>
    <w:rsid w:val="000A08D4"/>
    <w:rsid w:val="0013381F"/>
    <w:rsid w:val="001C5961"/>
    <w:rsid w:val="001F1FF1"/>
    <w:rsid w:val="00287F4A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56341"/>
    <w:rsid w:val="004D6E8F"/>
    <w:rsid w:val="004E17BB"/>
    <w:rsid w:val="00505CB1"/>
    <w:rsid w:val="00532716"/>
    <w:rsid w:val="00542448"/>
    <w:rsid w:val="0065173B"/>
    <w:rsid w:val="006B78FA"/>
    <w:rsid w:val="00701B90"/>
    <w:rsid w:val="00767ADA"/>
    <w:rsid w:val="007807D3"/>
    <w:rsid w:val="007E35B6"/>
    <w:rsid w:val="0081116D"/>
    <w:rsid w:val="00831E39"/>
    <w:rsid w:val="008F0E31"/>
    <w:rsid w:val="0094206E"/>
    <w:rsid w:val="00956CE2"/>
    <w:rsid w:val="00957BAE"/>
    <w:rsid w:val="00A1684E"/>
    <w:rsid w:val="00A631ED"/>
    <w:rsid w:val="00AC2AEE"/>
    <w:rsid w:val="00BD2151"/>
    <w:rsid w:val="00C0099D"/>
    <w:rsid w:val="00C22177"/>
    <w:rsid w:val="00C26A34"/>
    <w:rsid w:val="00C77A2B"/>
    <w:rsid w:val="00D27680"/>
    <w:rsid w:val="00D6093F"/>
    <w:rsid w:val="00D8670D"/>
    <w:rsid w:val="00DC68B1"/>
    <w:rsid w:val="00DF22F5"/>
    <w:rsid w:val="00E046E1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9f8b2057-8571-43f1-89d8-04dcb45c61d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purl.org/dc/terms/"/>
    <ds:schemaRef ds:uri="http://schemas.openxmlformats.org/package/2006/metadata/core-properties"/>
    <ds:schemaRef ds:uri="14c3b6c3-2f5b-4452-9b26-11fb37d81d9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8c8bf4-438c-4132-b182-987a6cb03fc0"/>
    <ds:schemaRef ds:uri="http://www.w3.org/XML/1998/namespace"/>
    <ds:schemaRef ds:uri="http://purl.org/dc/dcmitype/"/>
    <ds:schemaRef ds:uri="0862de27-bf98-42c3-9af4-81ee2ef416fb"/>
    <ds:schemaRef ds:uri="9f8b2057-8571-43f1-89d8-04dcb45c61d7"/>
  </ds:schemaRefs>
</ds:datastoreItem>
</file>

<file path=customXml/itemProps4.xml><?xml version="1.0" encoding="utf-8"?>
<ds:datastoreItem xmlns:ds="http://schemas.openxmlformats.org/officeDocument/2006/customXml" ds:itemID="{82DF78A9-5845-4E1F-B359-9AD10C6CF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90b2ce22-5f08-499d-8a51-a55788aa8ef6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3</cp:revision>
  <dcterms:created xsi:type="dcterms:W3CDTF">2021-11-03T19:57:00Z</dcterms:created>
  <dcterms:modified xsi:type="dcterms:W3CDTF">2022-07-29T15:21:00Z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0x010100F7731F5FAD76BE4C8CCECDE47FDADE10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  <property fmtid="{D5CDD505-2E9C-101B-9397-08002B2CF9AE}" pid="10" name="MediaServiceImageTags">
    <vt:lpwstr/>
  </property>
</Properties>
</file>