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63884C08" w14:textId="77777777" w:rsidR="00337B5C" w:rsidRPr="00337B5C" w:rsidRDefault="00337B5C" w:rsidP="00337B5C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2"/>
          <w:szCs w:val="22"/>
        </w:rPr>
      </w:pPr>
      <w:r w:rsidRPr="00337B5C">
        <w:rPr>
          <w:rFonts w:ascii="Arial" w:hAnsi="Arial"/>
          <w:b/>
          <w:bCs/>
          <w:color w:val="000000"/>
          <w:sz w:val="22"/>
          <w:szCs w:val="22"/>
        </w:rPr>
        <w:t>Job Title:  Support Worker</w:t>
      </w:r>
    </w:p>
    <w:p w14:paraId="7ED9B6AE" w14:textId="77777777" w:rsidR="00337B5C" w:rsidRPr="00337B5C" w:rsidRDefault="00337B5C" w:rsidP="00337B5C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2"/>
          <w:szCs w:val="22"/>
        </w:rPr>
      </w:pPr>
      <w:r w:rsidRPr="00337B5C">
        <w:rPr>
          <w:rFonts w:ascii="Arial" w:hAnsi="Arial"/>
          <w:b/>
          <w:bCs/>
          <w:color w:val="000000"/>
          <w:sz w:val="22"/>
          <w:szCs w:val="22"/>
        </w:rPr>
        <w:t xml:space="preserve">Grade:  1/2 </w:t>
      </w:r>
    </w:p>
    <w:p w14:paraId="01422102" w14:textId="77777777" w:rsidR="00337B5C" w:rsidRPr="00337B5C" w:rsidRDefault="00337B5C" w:rsidP="00337B5C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2"/>
          <w:szCs w:val="22"/>
        </w:rPr>
      </w:pPr>
      <w:r w:rsidRPr="00337B5C">
        <w:rPr>
          <w:rFonts w:ascii="Arial" w:hAnsi="Arial"/>
          <w:b/>
          <w:bCs/>
          <w:color w:val="000000"/>
          <w:sz w:val="22"/>
          <w:szCs w:val="22"/>
        </w:rPr>
        <w:t>Service Area:  Supported Living</w:t>
      </w:r>
    </w:p>
    <w:p w14:paraId="60F8FD80" w14:textId="77777777" w:rsidR="00337B5C" w:rsidRPr="00337B5C" w:rsidRDefault="00337B5C" w:rsidP="00337B5C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2"/>
          <w:szCs w:val="22"/>
        </w:rPr>
      </w:pPr>
      <w:r w:rsidRPr="00337B5C">
        <w:rPr>
          <w:rFonts w:ascii="Arial" w:hAnsi="Arial"/>
          <w:b/>
          <w:bCs/>
          <w:color w:val="000000"/>
          <w:sz w:val="22"/>
          <w:szCs w:val="22"/>
        </w:rPr>
        <w:t>Role Profile:  PC1/1.5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74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4380"/>
        <w:gridCol w:w="2270"/>
      </w:tblGrid>
      <w:tr w:rsidR="00511D45" w:rsidRPr="003613A7" w14:paraId="01B2A873" w14:textId="77777777" w:rsidTr="05743EC5">
        <w:trPr>
          <w:trHeight w:val="316"/>
          <w:tblHeader/>
        </w:trPr>
        <w:tc>
          <w:tcPr>
            <w:tcW w:w="7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555B995" w14:textId="1C66CDED" w:rsidR="00511D45" w:rsidRPr="003613A7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4BD6AAF" w14:textId="4307A3AB" w:rsidR="00511D45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5743EC5">
        <w:trPr>
          <w:trHeight w:val="316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80BF5" w14:textId="1EDE2759" w:rsidR="00757A84" w:rsidRPr="00BD7E82" w:rsidRDefault="00834378" w:rsidP="00A717F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F22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&lt;delete this section if not a key essential requirement&gt;</w:t>
            </w: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6FFAE7D" w14:textId="19B7782A" w:rsidR="0078565E" w:rsidRPr="003D6B2E" w:rsidRDefault="00337B5C" w:rsidP="00757A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>Level 2 QCF Health and Social Care or equivalent</w:t>
            </w:r>
            <w:r w:rsidR="00730652"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="00B23177">
              <w:rPr>
                <w:rFonts w:ascii="Arial" w:hAnsi="Arial" w:cs="Arial"/>
                <w:sz w:val="20"/>
                <w:szCs w:val="20"/>
              </w:rPr>
              <w:t xml:space="preserve">ability </w:t>
            </w:r>
            <w:r w:rsidR="0073065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C6A0A">
              <w:rPr>
                <w:rFonts w:ascii="Arial" w:hAnsi="Arial" w:cs="Arial"/>
                <w:sz w:val="20"/>
                <w:szCs w:val="20"/>
              </w:rPr>
              <w:t>complete</w:t>
            </w:r>
            <w:r w:rsidR="00730652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="00A41A6F">
              <w:rPr>
                <w:rFonts w:ascii="Arial" w:hAnsi="Arial" w:cs="Arial"/>
                <w:sz w:val="20"/>
                <w:szCs w:val="20"/>
              </w:rPr>
              <w:t>2</w:t>
            </w:r>
            <w:r w:rsidR="00730652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A41A6F">
              <w:rPr>
                <w:rFonts w:ascii="Arial" w:hAnsi="Arial" w:cs="Arial"/>
                <w:sz w:val="20"/>
                <w:szCs w:val="20"/>
              </w:rPr>
              <w:t>s</w:t>
            </w:r>
            <w:r w:rsidR="00730652">
              <w:rPr>
                <w:rFonts w:ascii="Arial" w:hAnsi="Arial" w:cs="Arial"/>
                <w:sz w:val="20"/>
                <w:szCs w:val="20"/>
              </w:rPr>
              <w:t xml:space="preserve"> of commencement in post.</w:t>
            </w:r>
            <w:r w:rsidRPr="007E5D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BE38D" w14:textId="08B58442" w:rsidR="00316D08" w:rsidRDefault="005F43EE" w:rsidP="00BD7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337B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C314BEC" w14:textId="52B55E6E" w:rsidR="004F2555" w:rsidRPr="003613A7" w:rsidRDefault="004F2555" w:rsidP="00BD7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7E82" w:rsidRPr="003613A7" w14:paraId="43687EF0" w14:textId="77777777" w:rsidTr="05743EC5">
        <w:trPr>
          <w:trHeight w:val="277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014932E7" w14:textId="77777777" w:rsidR="00BD7E82" w:rsidRPr="003613A7" w:rsidRDefault="00BD7E82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24B29A2" w14:textId="73BB2A2D" w:rsidR="00337B5C" w:rsidRPr="007E5D4A" w:rsidRDefault="006A7587" w:rsidP="00337B5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achieve </w:t>
            </w:r>
            <w:r w:rsidR="00337B5C" w:rsidRPr="007E5D4A">
              <w:rPr>
                <w:rFonts w:ascii="Arial" w:hAnsi="Arial" w:cs="Arial"/>
                <w:sz w:val="20"/>
                <w:szCs w:val="20"/>
              </w:rPr>
              <w:t>English and Math</w:t>
            </w:r>
            <w:r w:rsidR="00730652">
              <w:rPr>
                <w:rFonts w:ascii="Arial" w:hAnsi="Arial" w:cs="Arial"/>
                <w:sz w:val="20"/>
                <w:szCs w:val="20"/>
              </w:rPr>
              <w:t>s</w:t>
            </w:r>
            <w:r w:rsidR="00337B5C" w:rsidRPr="007E5D4A">
              <w:rPr>
                <w:rFonts w:ascii="Arial" w:hAnsi="Arial" w:cs="Arial"/>
                <w:sz w:val="20"/>
                <w:szCs w:val="20"/>
              </w:rPr>
              <w:t xml:space="preserve"> Functional Skills at Level 1 or equivalent</w:t>
            </w:r>
            <w:r w:rsidR="003D6B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328B0D" w14:textId="77777777" w:rsidR="00BD7E82" w:rsidRPr="007E5D4A" w:rsidRDefault="00BD7E82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76078" w14:textId="203D23C2" w:rsidR="00337B5C" w:rsidRDefault="005F43EE" w:rsidP="00337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337B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FA7EDD" w14:textId="77777777" w:rsidR="00BD7E82" w:rsidRDefault="00BD7E82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0D6855" w14:textId="32E1D175" w:rsidR="004F2555" w:rsidRPr="003613A7" w:rsidRDefault="004F2555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D45" w:rsidRPr="003613A7" w14:paraId="6EA44B0D" w14:textId="77777777" w:rsidTr="05743EC5">
        <w:trPr>
          <w:trHeight w:val="277"/>
        </w:trPr>
        <w:tc>
          <w:tcPr>
            <w:tcW w:w="309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87F6C4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0129B9E" w14:textId="17A19CB5" w:rsidR="00511D45" w:rsidRPr="007E5D4A" w:rsidRDefault="00412FA0" w:rsidP="00757A8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achieve</w:t>
            </w:r>
            <w:r w:rsidR="00730652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B5C" w:rsidRPr="007E5D4A">
              <w:rPr>
                <w:rFonts w:ascii="Arial" w:hAnsi="Arial" w:cs="Arial"/>
                <w:sz w:val="20"/>
                <w:szCs w:val="20"/>
              </w:rPr>
              <w:t>Care Certificate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8B63F" w14:textId="6CF14D16" w:rsidR="00511D45" w:rsidRDefault="005F43EE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337B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21B78" w:rsidRPr="003613A7" w14:paraId="476B857C" w14:textId="79A54E67" w:rsidTr="05743EC5">
        <w:trPr>
          <w:trHeight w:val="281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86218E7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2295067"/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D21B78" w:rsidRPr="003613A7" w:rsidRDefault="00D21B78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B2A7A58" w14:textId="1BFB8F7E" w:rsidR="00D21B78" w:rsidRPr="007E5D4A" w:rsidRDefault="00337B5C" w:rsidP="00337B5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 xml:space="preserve">Awareness of the importance of quality of care and of enabling vulnerable adults to remain safe.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1C7CB" w14:textId="1DAB749A" w:rsidR="00D21B78" w:rsidRPr="007E5D4A" w:rsidRDefault="00001F57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 </w:t>
            </w:r>
            <w:r w:rsidR="0050272D"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5BDB6C9" w14:textId="0E6AA3C5" w:rsidR="004F2555" w:rsidRPr="007E5D4A" w:rsidRDefault="004F2555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1B78" w:rsidRPr="003613A7" w14:paraId="066C9AB4" w14:textId="77777777" w:rsidTr="05743EC5">
        <w:trPr>
          <w:trHeight w:val="272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7D3884F8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C520AF6" w14:textId="267CC76E" w:rsidR="00D21B78" w:rsidRPr="007E5D4A" w:rsidRDefault="00337B5C" w:rsidP="00337B5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>Ability to provide care and support to meet social and health needs including challenging behaviour.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46909" w14:textId="3793F341" w:rsidR="005F43EE" w:rsidRPr="007E5D4A" w:rsidRDefault="00001F57" w:rsidP="005F4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 </w:t>
            </w:r>
          </w:p>
          <w:p w14:paraId="5F297270" w14:textId="77777777" w:rsidR="00D21B78" w:rsidRPr="007E5D4A" w:rsidRDefault="00D21B78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727B7CB8" w14:textId="5418119F" w:rsidR="004F2555" w:rsidRPr="007E5D4A" w:rsidRDefault="004F2555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1B78" w:rsidRPr="003613A7" w14:paraId="7A195A9E" w14:textId="77777777" w:rsidTr="05743EC5">
        <w:trPr>
          <w:trHeight w:val="261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5779C6E8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5D08A78" w14:textId="16F3EAA0" w:rsidR="00D21B78" w:rsidRPr="007E5D4A" w:rsidRDefault="00337B5C" w:rsidP="00337B5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7E5D4A">
              <w:rPr>
                <w:rFonts w:ascii="Arial" w:hAnsi="Arial" w:cs="Arial"/>
                <w:bCs/>
                <w:sz w:val="20"/>
                <w:szCs w:val="20"/>
              </w:rPr>
              <w:t>Ability to provide personal care, including intimate personal care, without supervision.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2C50B" w14:textId="42BA4C62" w:rsidR="005F43EE" w:rsidRPr="007E5D4A" w:rsidRDefault="00001F57" w:rsidP="005F4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 </w:t>
            </w:r>
            <w:r w:rsidR="005F43EE"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BF94006" w14:textId="77777777" w:rsidR="00D21B78" w:rsidRPr="007E5D4A" w:rsidRDefault="00D21B78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C5D15C7" w14:textId="341A0F01" w:rsidR="004F2555" w:rsidRPr="007E5D4A" w:rsidRDefault="004F2555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B7609" w:rsidRPr="003613A7" w14:paraId="42C3F6CC" w14:textId="77777777" w:rsidTr="05743EC5">
        <w:trPr>
          <w:trHeight w:val="261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2D32E6FD" w14:textId="77777777" w:rsidR="004B7609" w:rsidRPr="003613A7" w:rsidRDefault="004B7609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4D45460" w14:textId="002729A0" w:rsidR="004B7609" w:rsidRPr="007E5D4A" w:rsidRDefault="00337B5C" w:rsidP="00337B5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 xml:space="preserve">Ability to form and maintain effective working relationships with individuals being supported, their family, colleagues, senior </w:t>
            </w:r>
            <w:proofErr w:type="gramStart"/>
            <w:r w:rsidRPr="007E5D4A">
              <w:rPr>
                <w:rFonts w:ascii="Arial" w:hAnsi="Arial" w:cs="Arial"/>
                <w:sz w:val="20"/>
                <w:szCs w:val="20"/>
              </w:rPr>
              <w:t>managers</w:t>
            </w:r>
            <w:proofErr w:type="gramEnd"/>
            <w:r w:rsidRPr="007E5D4A">
              <w:rPr>
                <w:rFonts w:ascii="Arial" w:hAnsi="Arial" w:cs="Arial"/>
                <w:sz w:val="20"/>
                <w:szCs w:val="20"/>
              </w:rPr>
              <w:t xml:space="preserve"> and multidisciplinary professionals.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E24DB" w14:textId="79749080" w:rsidR="005F43EE" w:rsidRPr="007E5D4A" w:rsidRDefault="00001F57" w:rsidP="005F4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585E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 </w:t>
            </w:r>
            <w:r w:rsidR="005F43EE" w:rsidRPr="06585E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E8CBE5E" w14:textId="77777777" w:rsidR="004B7609" w:rsidRPr="007E5D4A" w:rsidRDefault="004B7609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30B59FE6" w14:textId="72DFCB72" w:rsidR="004B7609" w:rsidRPr="007E5D4A" w:rsidRDefault="004B7609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1D45" w:rsidRPr="003613A7" w14:paraId="21D5112B" w14:textId="77777777" w:rsidTr="05743EC5">
        <w:trPr>
          <w:trHeight w:val="261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33D39C7F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82792C5" w14:textId="1297EEE1" w:rsidR="003D6B2E" w:rsidRPr="003D6B2E" w:rsidRDefault="003D6B2E" w:rsidP="1795959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17959590">
              <w:rPr>
                <w:rFonts w:ascii="Arial" w:hAnsi="Arial" w:cs="Arial"/>
                <w:sz w:val="20"/>
                <w:szCs w:val="20"/>
              </w:rPr>
              <w:t>Ability to communicate effectively; verbally and in writing, both in person and over the telephone, to obtain and share information.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C0FA6" w14:textId="61FB4BE3" w:rsidR="005F43EE" w:rsidRPr="007E5D4A" w:rsidRDefault="005F43EE" w:rsidP="005F4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585E79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Form</w:t>
            </w:r>
          </w:p>
          <w:p w14:paraId="5734B0EA" w14:textId="77777777" w:rsidR="00511D45" w:rsidRPr="007E5D4A" w:rsidRDefault="00511D45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01367938" w14:textId="06005E77" w:rsidR="00511D45" w:rsidRPr="007E5D4A" w:rsidRDefault="00511D45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1D45" w:rsidRPr="003613A7" w14:paraId="2FF210C0" w14:textId="77777777" w:rsidTr="05743EC5">
        <w:trPr>
          <w:trHeight w:val="261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2EEC9AE3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FEC0CB" w14:textId="0CC1B8FA" w:rsidR="00511D45" w:rsidRPr="007E5D4A" w:rsidRDefault="00337B5C" w:rsidP="00337B5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7E5D4A">
              <w:rPr>
                <w:rFonts w:ascii="Arial" w:eastAsia="MS Mincho" w:hAnsi="Arial" w:cs="Arial"/>
                <w:sz w:val="20"/>
                <w:szCs w:val="20"/>
              </w:rPr>
              <w:t>Ability to adapt to changes in colleagues, settings and working environment.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1275F" w14:textId="66BE029F" w:rsidR="005F43EE" w:rsidRPr="007E5D4A" w:rsidRDefault="00001F57" w:rsidP="005F4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 </w:t>
            </w:r>
          </w:p>
          <w:p w14:paraId="6FDD9AFE" w14:textId="77777777" w:rsidR="00511D45" w:rsidRPr="007E5D4A" w:rsidRDefault="00511D45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9370CC7" w14:textId="74796326" w:rsidR="00511D45" w:rsidRPr="007E5D4A" w:rsidRDefault="00511D45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1B78" w:rsidRPr="003613A7" w14:paraId="1CA6557F" w14:textId="77777777" w:rsidTr="05743EC5">
        <w:trPr>
          <w:trHeight w:val="280"/>
        </w:trPr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79730D9C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DDE147B" w14:textId="101EBD20" w:rsidR="00D21B78" w:rsidRPr="007E5D4A" w:rsidRDefault="00337B5C" w:rsidP="00337B5C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>Ability to adapt behaviour to suit the situation or customer.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5C595" w14:textId="0901C41C" w:rsidR="005F43EE" w:rsidRPr="007E5D4A" w:rsidRDefault="00001F57" w:rsidP="005F4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 </w:t>
            </w:r>
          </w:p>
          <w:p w14:paraId="5BC4816F" w14:textId="48589794" w:rsidR="004F2555" w:rsidRPr="007E5D4A" w:rsidRDefault="004F2555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37B5C" w:rsidRPr="003613A7" w14:paraId="1756B74E" w14:textId="77777777" w:rsidTr="05743EC5">
        <w:trPr>
          <w:trHeight w:val="280"/>
        </w:trPr>
        <w:tc>
          <w:tcPr>
            <w:tcW w:w="3097" w:type="dxa"/>
            <w:tcBorders>
              <w:left w:val="single" w:sz="4" w:space="0" w:color="auto"/>
              <w:bottom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A76C3D2" w14:textId="77777777" w:rsidR="00337B5C" w:rsidRPr="003613A7" w:rsidRDefault="00337B5C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9431C89" w14:textId="38542F86" w:rsidR="003D6B2E" w:rsidRPr="003D6B2E" w:rsidRDefault="003D6B2E" w:rsidP="1795959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5743EC5">
              <w:rPr>
                <w:rFonts w:ascii="Arial" w:hAnsi="Arial" w:cs="Arial"/>
                <w:sz w:val="20"/>
                <w:szCs w:val="20"/>
              </w:rPr>
              <w:t>Able to demonstrate an understanding of the company values and the importance they represent to our organisation.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9AF63" w14:textId="31A15B0D" w:rsidR="005F43EE" w:rsidRPr="007E5D4A" w:rsidRDefault="005F43EE" w:rsidP="005F4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585E79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Form</w:t>
            </w:r>
            <w:r w:rsidR="00001F57" w:rsidRPr="06585E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AABE64" w14:textId="77777777" w:rsidR="00337B5C" w:rsidRPr="007E5D4A" w:rsidRDefault="00337B5C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B252B" w:rsidRPr="003613A7" w14:paraId="0D826A3B" w14:textId="77777777" w:rsidTr="05743EC5"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B2A0C89" w14:textId="77777777" w:rsidR="007B252B" w:rsidRDefault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</w:t>
            </w:r>
          </w:p>
          <w:p w14:paraId="20867444" w14:textId="7E317A34" w:rsidR="00757A84" w:rsidRPr="003613A7" w:rsidRDefault="00757A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1272998" w14:textId="74756E0B" w:rsidR="007B252B" w:rsidRPr="007E5D4A" w:rsidRDefault="00BB0018" w:rsidP="00BB001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>Able to meet the travel requirements of the post.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93B55" w14:textId="1FDE63A4" w:rsidR="007B252B" w:rsidRPr="007E5D4A" w:rsidRDefault="00340579" w:rsidP="67216439">
            <w:pPr>
              <w:rPr>
                <w:rFonts w:ascii="Arial" w:hAnsi="Arial" w:cs="Arial"/>
                <w:color w:val="000000"/>
              </w:rPr>
            </w:pPr>
            <w:r w:rsidRPr="06585E7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</w:t>
            </w:r>
          </w:p>
          <w:p w14:paraId="3673A4B4" w14:textId="4B05D756" w:rsidR="007B252B" w:rsidRPr="007E5D4A" w:rsidRDefault="007B252B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52B" w:rsidRPr="003613A7" w14:paraId="2E3B0942" w14:textId="77777777" w:rsidTr="05743EC5"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6BF6B5C9" w14:textId="77777777" w:rsidR="007B252B" w:rsidRPr="007B252B" w:rsidRDefault="007B252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2A8DEF2" w14:textId="794202E1" w:rsidR="007B252B" w:rsidRPr="007E5D4A" w:rsidRDefault="00BB0018" w:rsidP="00BB001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>Able to work evenings, overnight and weekends.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F84EC" w14:textId="1C97B9FC" w:rsidR="007B252B" w:rsidRPr="007E5D4A" w:rsidRDefault="00340579" w:rsidP="00001F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721643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511D45" w:rsidRPr="003613A7" w14:paraId="5CC7A908" w14:textId="77777777" w:rsidTr="05743EC5"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3A275FE8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2600F67" w14:textId="77777777" w:rsidR="00994E81" w:rsidRDefault="00BB0018" w:rsidP="00BB001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 xml:space="preserve">Compliance with health and safety rules, </w:t>
            </w:r>
          </w:p>
          <w:p w14:paraId="13972C36" w14:textId="2CF9B34B" w:rsidR="00511D45" w:rsidRPr="007E5D4A" w:rsidRDefault="00BB0018" w:rsidP="00BB001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hAnsi="Arial" w:cs="Arial"/>
                <w:sz w:val="20"/>
                <w:szCs w:val="20"/>
              </w:rPr>
              <w:t>regulations and legislation.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C7559" w14:textId="09C2A180" w:rsidR="005F43EE" w:rsidRPr="007E5D4A" w:rsidRDefault="005F43EE" w:rsidP="005F4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D4A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Interview </w:t>
            </w:r>
          </w:p>
          <w:p w14:paraId="2987E0CC" w14:textId="72AC7736" w:rsidR="00511D45" w:rsidRPr="007E5D4A" w:rsidRDefault="00511D45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52B" w:rsidRPr="003613A7" w14:paraId="5740F2DC" w14:textId="77777777" w:rsidTr="05743EC5">
        <w:tc>
          <w:tcPr>
            <w:tcW w:w="3097" w:type="dxa"/>
            <w:vMerge/>
            <w:tcMar>
              <w:left w:w="108" w:type="dxa"/>
              <w:right w:w="108" w:type="dxa"/>
            </w:tcMar>
          </w:tcPr>
          <w:p w14:paraId="29DEF34F" w14:textId="77777777" w:rsidR="007B252B" w:rsidRPr="003613A7" w:rsidRDefault="007B252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28D85E" w14:textId="1FF0CB7E" w:rsidR="007B252B" w:rsidRPr="007E5D4A" w:rsidRDefault="00BB0018" w:rsidP="00BB001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5D4A">
              <w:rPr>
                <w:rFonts w:ascii="Arial" w:eastAsia="MS Mincho" w:hAnsi="Arial" w:cs="Arial"/>
                <w:sz w:val="20"/>
                <w:szCs w:val="20"/>
              </w:rPr>
              <w:t>Commitment to equality of opportunity.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F50B2" w14:textId="0ABA6A12" w:rsidR="005F43EE" w:rsidRPr="007E5D4A" w:rsidRDefault="005F43EE" w:rsidP="005F43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D4A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Interview </w:t>
            </w:r>
          </w:p>
          <w:p w14:paraId="08198CF3" w14:textId="77777777" w:rsidR="007B252B" w:rsidRPr="007E5D4A" w:rsidRDefault="007B252B" w:rsidP="007B25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14:paraId="3F9E3320" w14:textId="781DF8FB" w:rsidR="004E17BB" w:rsidRPr="00511D45" w:rsidRDefault="004E17BB" w:rsidP="007B252B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12"/>
          <w:szCs w:val="12"/>
        </w:rPr>
      </w:pPr>
    </w:p>
    <w:sectPr w:rsidR="004E17BB" w:rsidRPr="00511D45" w:rsidSect="00AB6754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429E" w14:textId="77777777" w:rsidR="008861B6" w:rsidRDefault="008861B6" w:rsidP="0065173B">
      <w:r>
        <w:separator/>
      </w:r>
    </w:p>
  </w:endnote>
  <w:endnote w:type="continuationSeparator" w:id="0">
    <w:p w14:paraId="4583E03A" w14:textId="77777777" w:rsidR="008861B6" w:rsidRDefault="008861B6" w:rsidP="0065173B">
      <w:r>
        <w:continuationSeparator/>
      </w:r>
    </w:p>
  </w:endnote>
  <w:endnote w:type="continuationNotice" w:id="1">
    <w:p w14:paraId="33A689A0" w14:textId="77777777" w:rsidR="008861B6" w:rsidRDefault="00886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5090" w14:textId="77777777" w:rsidR="008861B6" w:rsidRDefault="008861B6" w:rsidP="0065173B">
      <w:r>
        <w:separator/>
      </w:r>
    </w:p>
  </w:footnote>
  <w:footnote w:type="continuationSeparator" w:id="0">
    <w:p w14:paraId="4FF5F7A8" w14:textId="77777777" w:rsidR="008861B6" w:rsidRDefault="008861B6" w:rsidP="0065173B">
      <w:r>
        <w:continuationSeparator/>
      </w:r>
    </w:p>
  </w:footnote>
  <w:footnote w:type="continuationNotice" w:id="1">
    <w:p w14:paraId="44C9C047" w14:textId="77777777" w:rsidR="008861B6" w:rsidRDefault="00886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1940BAD0" w:rsidR="00B305A4" w:rsidRDefault="00B305A4">
    <w:pPr>
      <w:pStyle w:val="Header"/>
    </w:pPr>
    <w:r>
      <w:tab/>
    </w:r>
    <w:r>
      <w:tab/>
    </w:r>
    <w:r w:rsidR="00AC3295" w:rsidRPr="00AC3295">
      <w:rPr>
        <w:noProof/>
      </w:rPr>
      <w:drawing>
        <wp:inline distT="0" distB="0" distL="0" distR="0" wp14:anchorId="634B8172" wp14:editId="709158B4">
          <wp:extent cx="2291410" cy="691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859" t="36286" r="5143" b="36564"/>
                  <a:stretch/>
                </pic:blipFill>
                <pic:spPr bwMode="auto">
                  <a:xfrm>
                    <a:off x="0" y="0"/>
                    <a:ext cx="2306895" cy="695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5800"/>
    <w:multiLevelType w:val="hybridMultilevel"/>
    <w:tmpl w:val="63DC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702A"/>
    <w:multiLevelType w:val="hybridMultilevel"/>
    <w:tmpl w:val="80C6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01F57"/>
    <w:rsid w:val="00026162"/>
    <w:rsid w:val="0002648F"/>
    <w:rsid w:val="00064CC2"/>
    <w:rsid w:val="000726A7"/>
    <w:rsid w:val="000929B8"/>
    <w:rsid w:val="0009571B"/>
    <w:rsid w:val="00095AA8"/>
    <w:rsid w:val="000974DA"/>
    <w:rsid w:val="000A08D4"/>
    <w:rsid w:val="000A620C"/>
    <w:rsid w:val="001352DE"/>
    <w:rsid w:val="001533F8"/>
    <w:rsid w:val="001C5961"/>
    <w:rsid w:val="001F1FF1"/>
    <w:rsid w:val="001F78E1"/>
    <w:rsid w:val="00210C99"/>
    <w:rsid w:val="00214D70"/>
    <w:rsid w:val="00281EB2"/>
    <w:rsid w:val="0028307E"/>
    <w:rsid w:val="002B352F"/>
    <w:rsid w:val="002C0BA8"/>
    <w:rsid w:val="002C1C99"/>
    <w:rsid w:val="002D4F04"/>
    <w:rsid w:val="002D55E1"/>
    <w:rsid w:val="002E41AC"/>
    <w:rsid w:val="003123CB"/>
    <w:rsid w:val="00316D08"/>
    <w:rsid w:val="0033379F"/>
    <w:rsid w:val="00337B5C"/>
    <w:rsid w:val="00340579"/>
    <w:rsid w:val="003613A7"/>
    <w:rsid w:val="003716D4"/>
    <w:rsid w:val="00393E23"/>
    <w:rsid w:val="003C6A0A"/>
    <w:rsid w:val="003D6B2E"/>
    <w:rsid w:val="00407726"/>
    <w:rsid w:val="00412FA0"/>
    <w:rsid w:val="00421981"/>
    <w:rsid w:val="004300EF"/>
    <w:rsid w:val="00434DBA"/>
    <w:rsid w:val="00436424"/>
    <w:rsid w:val="0044225A"/>
    <w:rsid w:val="004463A6"/>
    <w:rsid w:val="004B7609"/>
    <w:rsid w:val="004E17BB"/>
    <w:rsid w:val="004F2555"/>
    <w:rsid w:val="004F7CA0"/>
    <w:rsid w:val="0050272D"/>
    <w:rsid w:val="00505CB1"/>
    <w:rsid w:val="00511D45"/>
    <w:rsid w:val="00514F2D"/>
    <w:rsid w:val="00523051"/>
    <w:rsid w:val="00532716"/>
    <w:rsid w:val="00555B02"/>
    <w:rsid w:val="005562E1"/>
    <w:rsid w:val="005933C2"/>
    <w:rsid w:val="005F43EE"/>
    <w:rsid w:val="00606381"/>
    <w:rsid w:val="0065173B"/>
    <w:rsid w:val="00664993"/>
    <w:rsid w:val="006873C6"/>
    <w:rsid w:val="006A7587"/>
    <w:rsid w:val="00701B90"/>
    <w:rsid w:val="00730652"/>
    <w:rsid w:val="0075055C"/>
    <w:rsid w:val="00757A84"/>
    <w:rsid w:val="00767ADA"/>
    <w:rsid w:val="00771313"/>
    <w:rsid w:val="0078565E"/>
    <w:rsid w:val="007A232D"/>
    <w:rsid w:val="007B252B"/>
    <w:rsid w:val="007C7A99"/>
    <w:rsid w:val="007E35B6"/>
    <w:rsid w:val="007E5D4A"/>
    <w:rsid w:val="00823448"/>
    <w:rsid w:val="00834378"/>
    <w:rsid w:val="008861B6"/>
    <w:rsid w:val="008B4D55"/>
    <w:rsid w:val="008D5C4E"/>
    <w:rsid w:val="008F0E31"/>
    <w:rsid w:val="0092513F"/>
    <w:rsid w:val="0094206E"/>
    <w:rsid w:val="0095174C"/>
    <w:rsid w:val="00956CE2"/>
    <w:rsid w:val="00956D75"/>
    <w:rsid w:val="00957BAE"/>
    <w:rsid w:val="00994E81"/>
    <w:rsid w:val="00A1684E"/>
    <w:rsid w:val="00A41A6F"/>
    <w:rsid w:val="00A717F6"/>
    <w:rsid w:val="00A81E1A"/>
    <w:rsid w:val="00A836D6"/>
    <w:rsid w:val="00A9766D"/>
    <w:rsid w:val="00AB6754"/>
    <w:rsid w:val="00AC3295"/>
    <w:rsid w:val="00B03579"/>
    <w:rsid w:val="00B23177"/>
    <w:rsid w:val="00B24342"/>
    <w:rsid w:val="00B3022E"/>
    <w:rsid w:val="00B305A4"/>
    <w:rsid w:val="00B546B1"/>
    <w:rsid w:val="00B80596"/>
    <w:rsid w:val="00B81469"/>
    <w:rsid w:val="00BA0A76"/>
    <w:rsid w:val="00BB0018"/>
    <w:rsid w:val="00BD2151"/>
    <w:rsid w:val="00BD7E82"/>
    <w:rsid w:val="00BF7840"/>
    <w:rsid w:val="00C0099D"/>
    <w:rsid w:val="00C00BE6"/>
    <w:rsid w:val="00C20AA3"/>
    <w:rsid w:val="00C22177"/>
    <w:rsid w:val="00C5275E"/>
    <w:rsid w:val="00C6017A"/>
    <w:rsid w:val="00C648EC"/>
    <w:rsid w:val="00CD6D9E"/>
    <w:rsid w:val="00CE3087"/>
    <w:rsid w:val="00D0006D"/>
    <w:rsid w:val="00D21B78"/>
    <w:rsid w:val="00D27680"/>
    <w:rsid w:val="00D371D3"/>
    <w:rsid w:val="00D6093F"/>
    <w:rsid w:val="00D6736E"/>
    <w:rsid w:val="00D8670D"/>
    <w:rsid w:val="00DA209F"/>
    <w:rsid w:val="00DA47C3"/>
    <w:rsid w:val="00DE1A93"/>
    <w:rsid w:val="00DF22F5"/>
    <w:rsid w:val="00E31AEF"/>
    <w:rsid w:val="00E83C09"/>
    <w:rsid w:val="00EC6157"/>
    <w:rsid w:val="00F02954"/>
    <w:rsid w:val="00F1531C"/>
    <w:rsid w:val="00F24BE2"/>
    <w:rsid w:val="00F93290"/>
    <w:rsid w:val="00F9651C"/>
    <w:rsid w:val="00FB0826"/>
    <w:rsid w:val="00FB499A"/>
    <w:rsid w:val="00FE12B8"/>
    <w:rsid w:val="0320BDB7"/>
    <w:rsid w:val="05743EC5"/>
    <w:rsid w:val="05A0A096"/>
    <w:rsid w:val="06585E79"/>
    <w:rsid w:val="0E874F84"/>
    <w:rsid w:val="11AF42B2"/>
    <w:rsid w:val="131D8411"/>
    <w:rsid w:val="17959590"/>
    <w:rsid w:val="2331122D"/>
    <w:rsid w:val="32A9E0D0"/>
    <w:rsid w:val="54A1ED02"/>
    <w:rsid w:val="67216439"/>
    <w:rsid w:val="73B2A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ABFFA5FD-EEB5-485F-A3BE-D2B6A5AE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F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899FD5B767479DF7EDBF213CB07E" ma:contentTypeVersion="6" ma:contentTypeDescription="Create a new document." ma:contentTypeScope="" ma:versionID="24b1a90d79bf8547c253d472b2ac4dec">
  <xsd:schema xmlns:xsd="http://www.w3.org/2001/XMLSchema" xmlns:xs="http://www.w3.org/2001/XMLSchema" xmlns:p="http://schemas.microsoft.com/office/2006/metadata/properties" xmlns:ns2="7b887b67-da2f-4422-9c3e-e32dd3436a3b" xmlns:ns3="1640a5ec-725b-423b-b0ec-b1d50b14813d" targetNamespace="http://schemas.microsoft.com/office/2006/metadata/properties" ma:root="true" ma:fieldsID="9dd047c7a7dfcd5c63b1030daa152fda" ns2:_="" ns3:_="">
    <xsd:import namespace="7b887b67-da2f-4422-9c3e-e32dd3436a3b"/>
    <xsd:import namespace="1640a5ec-725b-423b-b0ec-b1d50b148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87b67-da2f-4422-9c3e-e32dd3436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a5ec-725b-423b-b0ec-b1d50b148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F4D8E-DB7F-4451-8C49-1C61C6ED5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87b67-da2f-4422-9c3e-e32dd3436a3b"/>
    <ds:schemaRef ds:uri="1640a5ec-725b-423b-b0ec-b1d50b148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7b887b67-da2f-4422-9c3e-e32dd3436a3b"/>
    <ds:schemaRef ds:uri="http://schemas.microsoft.com/office/2006/metadata/properties"/>
    <ds:schemaRef ds:uri="1640a5ec-725b-423b-b0ec-b1d50b14813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subject/>
  <dc:creator>dwebb</dc:creator>
  <cp:keywords/>
  <cp:lastModifiedBy>David Briggs</cp:lastModifiedBy>
  <cp:revision>2</cp:revision>
  <dcterms:created xsi:type="dcterms:W3CDTF">2022-09-21T12:28:00Z</dcterms:created>
  <dcterms:modified xsi:type="dcterms:W3CDTF">2022-09-21T12:28:00Z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0x0101009CA3899FD5B767479DF7EDBF213CB07E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