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CCC6736" w:rsidR="00845787" w:rsidRPr="00C676CB" w:rsidRDefault="0004712E" w:rsidP="00D70625">
            <w:pPr>
              <w:rPr>
                <w:rFonts w:cs="Arial"/>
                <w:szCs w:val="24"/>
              </w:rPr>
            </w:pPr>
            <w:r w:rsidRPr="0004712E">
              <w:rPr>
                <w:bCs/>
                <w:szCs w:val="24"/>
              </w:rPr>
              <w:t>Refugee Resettlement Key Worker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E931E23" w:rsidR="00845787" w:rsidRPr="00C85B30" w:rsidRDefault="0004712E" w:rsidP="00D70625">
            <w:r w:rsidRPr="0004712E">
              <w:rPr>
                <w:szCs w:val="24"/>
              </w:rPr>
              <w:t>N7296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28D8D42" w:rsidR="00845787" w:rsidRPr="00C676CB" w:rsidRDefault="0004712E" w:rsidP="00D70625">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5092AC1" w:rsidR="00845787" w:rsidRPr="00C676CB" w:rsidRDefault="009D490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2030E90" w:rsidR="00845787" w:rsidRPr="00C676CB" w:rsidRDefault="00AD1C60" w:rsidP="00D70625">
            <w:pPr>
              <w:rPr>
                <w:rFonts w:cs="Arial"/>
                <w:szCs w:val="24"/>
              </w:rPr>
            </w:pPr>
            <w:r>
              <w:rPr>
                <w:rFonts w:cs="Arial"/>
                <w:szCs w:val="24"/>
              </w:rPr>
              <w:t>Planning</w:t>
            </w:r>
            <w:r w:rsidR="00BD02C6">
              <w:rPr>
                <w:rFonts w:cs="Arial"/>
                <w:szCs w:val="24"/>
              </w:rPr>
              <w:t xml:space="preserve"> &amp; Housing – </w:t>
            </w:r>
            <w:r w:rsidR="009261F7">
              <w:rPr>
                <w:rFonts w:cs="Arial"/>
                <w:szCs w:val="24"/>
              </w:rPr>
              <w:t>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B012788" w:rsidR="00845787" w:rsidRPr="00C85B30" w:rsidRDefault="0004712E" w:rsidP="00C85B30">
            <w:pPr>
              <w:ind w:left="720" w:hanging="720"/>
              <w:rPr>
                <w:rFonts w:cs="Arial"/>
                <w:szCs w:val="24"/>
              </w:rPr>
            </w:pPr>
            <w:r w:rsidRPr="0004712E">
              <w:rPr>
                <w:szCs w:val="24"/>
              </w:rPr>
              <w:t>Team Leader</w:t>
            </w:r>
            <w:r w:rsidRPr="00AB1FAA">
              <w:rPr>
                <w:sz w:val="22"/>
              </w:rPr>
              <w:fldChar w:fldCharType="begin"/>
            </w:r>
            <w:r w:rsidRPr="00AB1FAA">
              <w:rPr>
                <w:sz w:val="22"/>
              </w:rPr>
              <w:instrText xml:space="preserve">  </w:instrText>
            </w:r>
            <w:r w:rsidRPr="00AB1FAA">
              <w:rPr>
                <w:sz w:val="22"/>
              </w:rPr>
              <w:fldChar w:fldCharType="end"/>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03F3528" w:rsidR="00845787" w:rsidRPr="00E14818" w:rsidRDefault="006C48DC" w:rsidP="00D70625">
            <w:pPr>
              <w:rPr>
                <w:rFonts w:cs="Arial"/>
                <w:szCs w:val="24"/>
              </w:rPr>
            </w:pPr>
            <w:r w:rsidRPr="00E14818">
              <w:rPr>
                <w:rFonts w:cs="Arial"/>
                <w:szCs w:val="24"/>
              </w:rPr>
              <w:t xml:space="preserve">Your normal place of work will be </w:t>
            </w:r>
            <w:r w:rsidR="0004712E">
              <w:rPr>
                <w:rFonts w:cs="Arial"/>
                <w:szCs w:val="24"/>
              </w:rPr>
              <w:t xml:space="preserve">Crook or </w:t>
            </w:r>
            <w:r w:rsidR="009261F7">
              <w:rPr>
                <w:rFonts w:cs="Arial"/>
                <w:szCs w:val="24"/>
              </w:rPr>
              <w:t xml:space="preserve">Seaham Council </w:t>
            </w:r>
            <w:proofErr w:type="gramStart"/>
            <w:r w:rsidR="009261F7">
              <w:rPr>
                <w:rFonts w:cs="Arial"/>
                <w:szCs w:val="24"/>
              </w:rPr>
              <w:t>Offices</w:t>
            </w:r>
            <w:proofErr w:type="gramEnd"/>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7193B06" w:rsidR="006C48DC" w:rsidRPr="00C676CB" w:rsidRDefault="006C48DC" w:rsidP="006C48DC">
            <w:pPr>
              <w:rPr>
                <w:rFonts w:cs="Arial"/>
                <w:szCs w:val="24"/>
              </w:rPr>
            </w:pPr>
            <w:r>
              <w:rPr>
                <w:rFonts w:cs="Arial"/>
                <w:szCs w:val="24"/>
              </w:rPr>
              <w:t xml:space="preserve">This post </w:t>
            </w:r>
            <w:r w:rsidRPr="0046742B">
              <w:rPr>
                <w:rFonts w:cs="Arial"/>
                <w:b/>
                <w:szCs w:val="24"/>
              </w:rPr>
              <w:t>is</w:t>
            </w:r>
            <w:r w:rsidR="001F092C">
              <w:rPr>
                <w:rFonts w:cs="Arial"/>
                <w:b/>
                <w:szCs w:val="24"/>
              </w:rPr>
              <w:t xml:space="preserve"> not</w:t>
            </w:r>
            <w:r>
              <w:rPr>
                <w:rFonts w:cs="Arial"/>
                <w:szCs w:val="24"/>
              </w:rPr>
              <w:t xml:space="preserve"> subject to a</w:t>
            </w:r>
            <w:r w:rsidR="0004712E">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0C2CEA87" w14:textId="52538AF0" w:rsidR="006C48DC" w:rsidRDefault="00FA0234" w:rsidP="00681A84">
      <w:r>
        <w:t>The post holder will be accountable to the Team Leader and will be responsible for working with refugee families resettled within County Durham.</w:t>
      </w:r>
    </w:p>
    <w:p w14:paraId="6A060994" w14:textId="77777777" w:rsidR="00FA0234" w:rsidRDefault="00FA023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0C8D6D20" w14:textId="77777777" w:rsidR="0004712E" w:rsidRPr="0004712E" w:rsidRDefault="0004712E" w:rsidP="0004712E">
      <w:pPr>
        <w:pStyle w:val="ListParagraph"/>
        <w:numPr>
          <w:ilvl w:val="0"/>
          <w:numId w:val="41"/>
        </w:numPr>
        <w:rPr>
          <w:rFonts w:eastAsia="Calibri"/>
          <w:szCs w:val="24"/>
        </w:rPr>
      </w:pPr>
      <w:r w:rsidRPr="0004712E">
        <w:rPr>
          <w:szCs w:val="24"/>
        </w:rPr>
        <w:t xml:space="preserve">To provide practical and emotional support to refugees assisting with issues around finances, health, housing, life skills, personal safety, legal/family reunification issues, parenting, ESOL and employment </w:t>
      </w:r>
      <w:r w:rsidRPr="0004712E">
        <w:rPr>
          <w:rFonts w:eastAsia="Calibri"/>
          <w:szCs w:val="24"/>
        </w:rPr>
        <w:t>enabling them to live successfully in the community and reduce barriers to employment.</w:t>
      </w:r>
    </w:p>
    <w:p w14:paraId="28A00EF6" w14:textId="77777777" w:rsidR="0004712E" w:rsidRPr="0004712E" w:rsidRDefault="0004712E" w:rsidP="0004712E">
      <w:pPr>
        <w:rPr>
          <w:rFonts w:eastAsia="Calibri"/>
          <w:szCs w:val="24"/>
        </w:rPr>
      </w:pPr>
    </w:p>
    <w:p w14:paraId="1F6ABEE6" w14:textId="77777777" w:rsidR="0004712E" w:rsidRPr="0004712E" w:rsidRDefault="0004712E" w:rsidP="0004712E">
      <w:pPr>
        <w:pStyle w:val="ListParagraph"/>
        <w:numPr>
          <w:ilvl w:val="0"/>
          <w:numId w:val="41"/>
        </w:numPr>
        <w:tabs>
          <w:tab w:val="left" w:pos="674"/>
          <w:tab w:val="left" w:pos="10490"/>
        </w:tabs>
        <w:spacing w:after="200" w:line="276" w:lineRule="auto"/>
        <w:rPr>
          <w:rFonts w:eastAsia="Calibri"/>
          <w:szCs w:val="24"/>
        </w:rPr>
      </w:pPr>
      <w:r w:rsidRPr="0004712E">
        <w:rPr>
          <w:szCs w:val="24"/>
        </w:rPr>
        <w:t>To work within a multi-agency framework, communicating effectively with colleagues, other professionals and clients ensuring that there is a co-ordinated response to support. This may include attending TAFs, Core Groups, Conferences and Strategy Meetings and writing any required reports.</w:t>
      </w:r>
    </w:p>
    <w:p w14:paraId="5D2A34A0" w14:textId="6BB7E874" w:rsidR="0004712E" w:rsidRDefault="0004712E" w:rsidP="0004712E">
      <w:pPr>
        <w:pStyle w:val="ListParagraph"/>
        <w:numPr>
          <w:ilvl w:val="0"/>
          <w:numId w:val="41"/>
        </w:numPr>
        <w:tabs>
          <w:tab w:val="left" w:pos="674"/>
          <w:tab w:val="left" w:pos="10490"/>
        </w:tabs>
        <w:spacing w:after="200" w:line="276" w:lineRule="auto"/>
        <w:rPr>
          <w:rFonts w:eastAsia="Calibri"/>
          <w:szCs w:val="24"/>
        </w:rPr>
      </w:pPr>
      <w:r w:rsidRPr="0004712E">
        <w:rPr>
          <w:rFonts w:eastAsia="Calibri"/>
          <w:szCs w:val="24"/>
        </w:rPr>
        <w:t>Liaising with partners and agencies to ensure support plans</w:t>
      </w:r>
      <w:r w:rsidRPr="0004712E">
        <w:rPr>
          <w:rFonts w:eastAsia="Calibri"/>
          <w:color w:val="FF0000"/>
          <w:szCs w:val="24"/>
        </w:rPr>
        <w:t xml:space="preserve"> </w:t>
      </w:r>
      <w:r w:rsidRPr="0004712E">
        <w:rPr>
          <w:rFonts w:eastAsia="Calibri"/>
          <w:szCs w:val="24"/>
        </w:rPr>
        <w:t>contain adequate and appropriate information to allow comprehensive needs assessment to be completed, including information contained in any prior assessments where appropriate.</w:t>
      </w:r>
    </w:p>
    <w:p w14:paraId="095DA63A" w14:textId="77777777" w:rsidR="0004712E" w:rsidRPr="0004712E" w:rsidRDefault="0004712E" w:rsidP="0004712E">
      <w:pPr>
        <w:pStyle w:val="ListParagraph"/>
        <w:tabs>
          <w:tab w:val="left" w:pos="674"/>
          <w:tab w:val="left" w:pos="10490"/>
        </w:tabs>
        <w:spacing w:after="200" w:line="276" w:lineRule="auto"/>
        <w:rPr>
          <w:rFonts w:eastAsia="Calibri"/>
          <w:szCs w:val="24"/>
        </w:rPr>
      </w:pPr>
    </w:p>
    <w:p w14:paraId="3731CB5F" w14:textId="3A499CD9" w:rsidR="0004712E" w:rsidRDefault="0004712E" w:rsidP="0004712E">
      <w:pPr>
        <w:pStyle w:val="ListParagraph"/>
        <w:numPr>
          <w:ilvl w:val="0"/>
          <w:numId w:val="41"/>
        </w:numPr>
        <w:tabs>
          <w:tab w:val="left" w:pos="674"/>
          <w:tab w:val="left" w:pos="10490"/>
        </w:tabs>
        <w:spacing w:line="276" w:lineRule="auto"/>
        <w:rPr>
          <w:rFonts w:eastAsia="Calibri"/>
          <w:szCs w:val="24"/>
        </w:rPr>
      </w:pPr>
      <w:r w:rsidRPr="0004712E">
        <w:rPr>
          <w:rFonts w:eastAsia="Calibri"/>
          <w:szCs w:val="24"/>
        </w:rPr>
        <w:t>Undertake a review of any previous assessments to establish the needs of the whole family and identify what support was put in place to address those needs at the time of the original assessment. Where appropriate update this assessment to reflect their needs and identify what support is required to address the root causes of these and other needs. Ensure all documentation is updated and maintained.</w:t>
      </w:r>
    </w:p>
    <w:p w14:paraId="351302BB" w14:textId="77777777" w:rsidR="0004712E" w:rsidRPr="0004712E" w:rsidRDefault="0004712E" w:rsidP="0004712E">
      <w:pPr>
        <w:tabs>
          <w:tab w:val="left" w:pos="674"/>
          <w:tab w:val="left" w:pos="10490"/>
        </w:tabs>
        <w:spacing w:line="276" w:lineRule="auto"/>
        <w:rPr>
          <w:rFonts w:eastAsia="Calibri"/>
          <w:szCs w:val="24"/>
        </w:rPr>
      </w:pPr>
    </w:p>
    <w:p w14:paraId="0C53CEE9" w14:textId="3782CE6B" w:rsidR="0004712E" w:rsidRDefault="0004712E" w:rsidP="0004712E">
      <w:pPr>
        <w:pStyle w:val="ListParagraph"/>
        <w:numPr>
          <w:ilvl w:val="0"/>
          <w:numId w:val="41"/>
        </w:numPr>
        <w:tabs>
          <w:tab w:val="left" w:pos="674"/>
          <w:tab w:val="left" w:pos="10490"/>
        </w:tabs>
        <w:spacing w:line="276" w:lineRule="auto"/>
        <w:rPr>
          <w:rFonts w:eastAsia="Calibri"/>
          <w:szCs w:val="24"/>
        </w:rPr>
      </w:pPr>
      <w:r w:rsidRPr="0004712E">
        <w:rPr>
          <w:rFonts w:eastAsia="Calibri"/>
          <w:szCs w:val="24"/>
        </w:rPr>
        <w:t>Undertake initial home visits, within agreed timescales, to identify any housing issues, including potential homelessness or unsuitable accommodation. Work proactively with officers in the Housing Solutions Team and other Council departments, organisations, private landlords and housing providers to prevent homelessness wherever possible, including working jointly in a planned way to prevent homelessness.</w:t>
      </w:r>
    </w:p>
    <w:p w14:paraId="3035A707" w14:textId="77777777" w:rsidR="0004712E" w:rsidRPr="0004712E" w:rsidRDefault="0004712E" w:rsidP="0004712E">
      <w:pPr>
        <w:tabs>
          <w:tab w:val="left" w:pos="674"/>
          <w:tab w:val="left" w:pos="10490"/>
        </w:tabs>
        <w:spacing w:line="276" w:lineRule="auto"/>
        <w:rPr>
          <w:rFonts w:eastAsia="Calibri"/>
          <w:szCs w:val="24"/>
        </w:rPr>
      </w:pPr>
    </w:p>
    <w:p w14:paraId="06357A7E" w14:textId="66BF667D" w:rsidR="0004712E" w:rsidRDefault="0004712E" w:rsidP="0004712E">
      <w:pPr>
        <w:pStyle w:val="ListParagraph"/>
        <w:numPr>
          <w:ilvl w:val="0"/>
          <w:numId w:val="41"/>
        </w:numPr>
        <w:tabs>
          <w:tab w:val="left" w:pos="674"/>
          <w:tab w:val="left" w:pos="10490"/>
        </w:tabs>
        <w:spacing w:line="276" w:lineRule="auto"/>
        <w:rPr>
          <w:rFonts w:eastAsia="Calibri"/>
          <w:szCs w:val="24"/>
        </w:rPr>
      </w:pPr>
      <w:r w:rsidRPr="0004712E">
        <w:rPr>
          <w:rFonts w:eastAsia="Calibri"/>
          <w:szCs w:val="24"/>
        </w:rPr>
        <w:t xml:space="preserve">Work closely with clients to ensure their understanding of the team’s intensive Intervention approach of providing intensive, structured support from the Team, partner agencies and specialist services to help tackle barriers to employment and ensure that clients are engaged in education, </w:t>
      </w:r>
      <w:proofErr w:type="gramStart"/>
      <w:r w:rsidRPr="0004712E">
        <w:rPr>
          <w:rFonts w:eastAsia="Calibri"/>
          <w:szCs w:val="24"/>
        </w:rPr>
        <w:t>training</w:t>
      </w:r>
      <w:proofErr w:type="gramEnd"/>
      <w:r w:rsidRPr="0004712E">
        <w:rPr>
          <w:rFonts w:eastAsia="Calibri"/>
          <w:szCs w:val="24"/>
        </w:rPr>
        <w:t xml:space="preserve"> or employment.</w:t>
      </w:r>
    </w:p>
    <w:p w14:paraId="57CBBB60" w14:textId="77777777" w:rsidR="0004712E" w:rsidRPr="0004712E" w:rsidRDefault="0004712E" w:rsidP="0004712E">
      <w:pPr>
        <w:tabs>
          <w:tab w:val="left" w:pos="674"/>
          <w:tab w:val="left" w:pos="10490"/>
        </w:tabs>
        <w:spacing w:line="276" w:lineRule="auto"/>
        <w:rPr>
          <w:rFonts w:eastAsia="Calibri"/>
          <w:szCs w:val="24"/>
        </w:rPr>
      </w:pPr>
    </w:p>
    <w:p w14:paraId="4CA8EFF1" w14:textId="4F119671" w:rsidR="0004712E" w:rsidRDefault="0004712E" w:rsidP="0004712E">
      <w:pPr>
        <w:pStyle w:val="ListParagraph"/>
        <w:numPr>
          <w:ilvl w:val="0"/>
          <w:numId w:val="41"/>
        </w:numPr>
        <w:tabs>
          <w:tab w:val="left" w:pos="674"/>
          <w:tab w:val="left" w:pos="10490"/>
        </w:tabs>
        <w:spacing w:line="276" w:lineRule="auto"/>
        <w:rPr>
          <w:rFonts w:eastAsia="Calibri"/>
          <w:szCs w:val="24"/>
        </w:rPr>
      </w:pPr>
      <w:r w:rsidRPr="0004712E">
        <w:rPr>
          <w:rFonts w:eastAsia="Calibri"/>
          <w:szCs w:val="24"/>
        </w:rPr>
        <w:t>Work closely with individuals and families to develop a support plan and ensure their understanding.</w:t>
      </w:r>
    </w:p>
    <w:p w14:paraId="70C544A4" w14:textId="77777777" w:rsidR="0004712E" w:rsidRPr="0004712E" w:rsidRDefault="0004712E" w:rsidP="0004712E">
      <w:pPr>
        <w:tabs>
          <w:tab w:val="left" w:pos="674"/>
          <w:tab w:val="left" w:pos="10490"/>
        </w:tabs>
        <w:spacing w:line="276" w:lineRule="auto"/>
        <w:rPr>
          <w:rFonts w:eastAsia="Calibri"/>
          <w:szCs w:val="24"/>
        </w:rPr>
      </w:pPr>
    </w:p>
    <w:p w14:paraId="0809C4EC" w14:textId="2C8D1759" w:rsidR="0004712E" w:rsidRDefault="0004712E" w:rsidP="0004712E">
      <w:pPr>
        <w:pStyle w:val="ListParagraph"/>
        <w:numPr>
          <w:ilvl w:val="0"/>
          <w:numId w:val="41"/>
        </w:numPr>
        <w:tabs>
          <w:tab w:val="left" w:pos="674"/>
          <w:tab w:val="left" w:pos="10490"/>
        </w:tabs>
        <w:spacing w:line="276" w:lineRule="auto"/>
        <w:rPr>
          <w:rFonts w:eastAsia="Calibri"/>
          <w:szCs w:val="24"/>
        </w:rPr>
      </w:pPr>
      <w:r w:rsidRPr="0004712E">
        <w:rPr>
          <w:rFonts w:eastAsia="Calibri"/>
          <w:szCs w:val="24"/>
        </w:rPr>
        <w:t>To deliver targeted interventions, toolkits and evidenced based programmes.</w:t>
      </w:r>
    </w:p>
    <w:p w14:paraId="3BC5761E" w14:textId="77777777" w:rsidR="0004712E" w:rsidRPr="0004712E" w:rsidRDefault="0004712E" w:rsidP="0004712E">
      <w:pPr>
        <w:tabs>
          <w:tab w:val="left" w:pos="674"/>
          <w:tab w:val="left" w:pos="10490"/>
        </w:tabs>
        <w:spacing w:line="276" w:lineRule="auto"/>
        <w:rPr>
          <w:rFonts w:eastAsia="Calibri"/>
          <w:szCs w:val="24"/>
        </w:rPr>
      </w:pPr>
    </w:p>
    <w:p w14:paraId="79D45970" w14:textId="0EE18DC5" w:rsidR="0004712E" w:rsidRDefault="0004712E" w:rsidP="0004712E">
      <w:pPr>
        <w:pStyle w:val="ListParagraph"/>
        <w:numPr>
          <w:ilvl w:val="0"/>
          <w:numId w:val="41"/>
        </w:numPr>
        <w:tabs>
          <w:tab w:val="left" w:pos="674"/>
          <w:tab w:val="left" w:pos="10490"/>
        </w:tabs>
        <w:spacing w:line="276" w:lineRule="auto"/>
        <w:rPr>
          <w:rFonts w:eastAsia="Calibri"/>
          <w:szCs w:val="24"/>
        </w:rPr>
      </w:pPr>
      <w:r w:rsidRPr="0004712E">
        <w:rPr>
          <w:rFonts w:eastAsia="Calibri"/>
          <w:szCs w:val="24"/>
        </w:rPr>
        <w:t>To act as lead professional and coordinate plans for both clients and multiagency teams.</w:t>
      </w:r>
    </w:p>
    <w:p w14:paraId="7E0884FF" w14:textId="77777777" w:rsidR="0004712E" w:rsidRPr="0004712E" w:rsidRDefault="0004712E" w:rsidP="0004712E">
      <w:pPr>
        <w:tabs>
          <w:tab w:val="left" w:pos="674"/>
          <w:tab w:val="left" w:pos="10490"/>
        </w:tabs>
        <w:spacing w:line="276" w:lineRule="auto"/>
        <w:rPr>
          <w:rFonts w:eastAsia="Calibri"/>
          <w:szCs w:val="24"/>
        </w:rPr>
      </w:pPr>
    </w:p>
    <w:p w14:paraId="6278175F" w14:textId="2542F4B4" w:rsidR="0004712E" w:rsidRDefault="0004712E" w:rsidP="0004712E">
      <w:pPr>
        <w:pStyle w:val="ListParagraph"/>
        <w:numPr>
          <w:ilvl w:val="0"/>
          <w:numId w:val="41"/>
        </w:numPr>
        <w:tabs>
          <w:tab w:val="left" w:pos="674"/>
          <w:tab w:val="left" w:pos="10490"/>
        </w:tabs>
        <w:spacing w:line="276" w:lineRule="auto"/>
        <w:rPr>
          <w:rFonts w:eastAsia="Calibri"/>
          <w:szCs w:val="24"/>
        </w:rPr>
      </w:pPr>
      <w:r w:rsidRPr="0004712E">
        <w:rPr>
          <w:rFonts w:eastAsia="Calibri"/>
          <w:szCs w:val="24"/>
        </w:rPr>
        <w:t>To safeguard adults and children in line with Durham County Council policies and procedures.</w:t>
      </w:r>
    </w:p>
    <w:p w14:paraId="14B266F9" w14:textId="77777777" w:rsidR="0004712E" w:rsidRPr="0004712E" w:rsidRDefault="0004712E" w:rsidP="0004712E">
      <w:pPr>
        <w:tabs>
          <w:tab w:val="left" w:pos="674"/>
          <w:tab w:val="left" w:pos="10490"/>
        </w:tabs>
        <w:spacing w:line="276" w:lineRule="auto"/>
        <w:rPr>
          <w:rFonts w:eastAsia="Calibri"/>
          <w:szCs w:val="24"/>
        </w:rPr>
      </w:pPr>
    </w:p>
    <w:p w14:paraId="342570C1" w14:textId="6E95CBE7" w:rsidR="0004712E" w:rsidRDefault="0004712E" w:rsidP="0004712E">
      <w:pPr>
        <w:pStyle w:val="ListParagraph"/>
        <w:numPr>
          <w:ilvl w:val="0"/>
          <w:numId w:val="41"/>
        </w:numPr>
        <w:tabs>
          <w:tab w:val="left" w:pos="674"/>
          <w:tab w:val="left" w:pos="10490"/>
        </w:tabs>
        <w:spacing w:line="276" w:lineRule="auto"/>
        <w:rPr>
          <w:rFonts w:eastAsia="Calibri"/>
          <w:szCs w:val="24"/>
        </w:rPr>
      </w:pPr>
      <w:r w:rsidRPr="0004712E">
        <w:rPr>
          <w:rFonts w:eastAsia="Calibri"/>
          <w:szCs w:val="24"/>
        </w:rPr>
        <w:t>To embed Think Family approaches and Early Help into your working practises.</w:t>
      </w:r>
    </w:p>
    <w:p w14:paraId="03BC4393" w14:textId="77777777" w:rsidR="0004712E" w:rsidRPr="0004712E" w:rsidRDefault="0004712E" w:rsidP="0004712E">
      <w:pPr>
        <w:tabs>
          <w:tab w:val="left" w:pos="674"/>
          <w:tab w:val="left" w:pos="10490"/>
        </w:tabs>
        <w:spacing w:line="276" w:lineRule="auto"/>
        <w:rPr>
          <w:rFonts w:eastAsia="Calibri"/>
          <w:szCs w:val="24"/>
        </w:rPr>
      </w:pPr>
    </w:p>
    <w:p w14:paraId="7D9E2C73" w14:textId="05EDD777" w:rsidR="0004712E" w:rsidRDefault="0004712E" w:rsidP="0004712E">
      <w:pPr>
        <w:pStyle w:val="ListParagraph"/>
        <w:numPr>
          <w:ilvl w:val="0"/>
          <w:numId w:val="41"/>
        </w:numPr>
        <w:tabs>
          <w:tab w:val="left" w:pos="674"/>
          <w:tab w:val="left" w:pos="10490"/>
        </w:tabs>
        <w:spacing w:line="276" w:lineRule="auto"/>
        <w:rPr>
          <w:rFonts w:eastAsia="Calibri"/>
          <w:szCs w:val="24"/>
        </w:rPr>
      </w:pPr>
      <w:r w:rsidRPr="0004712E">
        <w:rPr>
          <w:rFonts w:eastAsia="Calibri"/>
          <w:szCs w:val="24"/>
        </w:rPr>
        <w:t>Ensuring maintenance of appropriate records and documentation relating to the work of the team as required by Government, external agencies and for the purpose of internal monitoring by the Council, including any local performance indicators.</w:t>
      </w:r>
    </w:p>
    <w:p w14:paraId="106FA7D5" w14:textId="77777777" w:rsidR="0004712E" w:rsidRPr="0004712E" w:rsidRDefault="0004712E" w:rsidP="0004712E">
      <w:pPr>
        <w:tabs>
          <w:tab w:val="left" w:pos="674"/>
          <w:tab w:val="left" w:pos="10490"/>
        </w:tabs>
        <w:spacing w:line="276" w:lineRule="auto"/>
        <w:rPr>
          <w:rFonts w:eastAsia="Calibri"/>
          <w:szCs w:val="24"/>
        </w:rPr>
      </w:pPr>
    </w:p>
    <w:p w14:paraId="4DDCAF69" w14:textId="007402DB" w:rsidR="0004712E" w:rsidRPr="0004712E" w:rsidRDefault="0004712E" w:rsidP="0004712E">
      <w:pPr>
        <w:pStyle w:val="ListParagraph"/>
        <w:numPr>
          <w:ilvl w:val="0"/>
          <w:numId w:val="41"/>
        </w:numPr>
        <w:tabs>
          <w:tab w:val="left" w:pos="674"/>
          <w:tab w:val="left" w:pos="10490"/>
        </w:tabs>
        <w:spacing w:line="276" w:lineRule="auto"/>
        <w:rPr>
          <w:rFonts w:eastAsia="Calibri"/>
          <w:szCs w:val="24"/>
        </w:rPr>
      </w:pPr>
      <w:r w:rsidRPr="0004712E">
        <w:rPr>
          <w:rFonts w:eastAsia="Calibri"/>
          <w:szCs w:val="24"/>
        </w:rPr>
        <w:t>To ensure effective consultation with service users and other agencies on all aspects of the service, ensuring their involvement in the reviewing and improvement of the service.</w:t>
      </w:r>
    </w:p>
    <w:p w14:paraId="0DA234C0" w14:textId="7063AE60" w:rsidR="009D4904" w:rsidRDefault="009D4904"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w:t>
      </w:r>
      <w:r>
        <w:rPr>
          <w:rFonts w:cs="Arial"/>
          <w:szCs w:val="24"/>
        </w:rPr>
        <w:lastRenderedPageBreak/>
        <w:t>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AD1C60">
        <w:trPr>
          <w:trHeight w:val="1115"/>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0763771" w14:textId="77777777" w:rsidR="009D4904" w:rsidRPr="0004712E" w:rsidRDefault="009D4904" w:rsidP="0004712E">
            <w:pPr>
              <w:pStyle w:val="ListParagraph"/>
              <w:ind w:left="360"/>
              <w:rPr>
                <w:noProof/>
                <w:sz w:val="22"/>
                <w:lang w:eastAsia="en-GB"/>
              </w:rPr>
            </w:pPr>
          </w:p>
          <w:p w14:paraId="1B31609F" w14:textId="3B22C82A" w:rsidR="0004712E" w:rsidRPr="00AD1C60" w:rsidRDefault="00AD1C60" w:rsidP="0004712E">
            <w:pPr>
              <w:numPr>
                <w:ilvl w:val="0"/>
                <w:numId w:val="21"/>
              </w:numPr>
              <w:rPr>
                <w:rFonts w:eastAsia="Arial"/>
                <w:szCs w:val="24"/>
              </w:rPr>
            </w:pPr>
            <w:r w:rsidRPr="00AD1C60">
              <w:rPr>
                <w:rFonts w:eastAsia="Arial"/>
                <w:szCs w:val="24"/>
              </w:rPr>
              <w:t>NVQ Level 4 or equivalent</w:t>
            </w:r>
          </w:p>
          <w:p w14:paraId="6CFF7549" w14:textId="01D62C82" w:rsidR="0004712E" w:rsidRPr="0004712E" w:rsidRDefault="0004712E" w:rsidP="00992235">
            <w:pPr>
              <w:rPr>
                <w:noProof/>
                <w:sz w:val="22"/>
                <w:lang w:eastAsia="en-GB"/>
              </w:rPr>
            </w:pPr>
          </w:p>
        </w:tc>
        <w:tc>
          <w:tcPr>
            <w:tcW w:w="4961" w:type="dxa"/>
          </w:tcPr>
          <w:p w14:paraId="688A88AD" w14:textId="77777777" w:rsidR="00845787" w:rsidRPr="00AD1C60" w:rsidRDefault="00845787" w:rsidP="0004712E">
            <w:pPr>
              <w:rPr>
                <w:noProof/>
                <w:szCs w:val="24"/>
                <w:lang w:eastAsia="en-GB"/>
              </w:rPr>
            </w:pPr>
          </w:p>
          <w:p w14:paraId="25AA36C8" w14:textId="23BFF839" w:rsidR="0004712E" w:rsidRPr="00AD1C60" w:rsidRDefault="0004712E" w:rsidP="0004712E">
            <w:pPr>
              <w:pStyle w:val="ListParagraph"/>
              <w:numPr>
                <w:ilvl w:val="0"/>
                <w:numId w:val="21"/>
              </w:numPr>
              <w:spacing w:before="16" w:line="260" w:lineRule="exact"/>
              <w:ind w:right="903"/>
              <w:rPr>
                <w:rFonts w:cs="Arial"/>
                <w:szCs w:val="24"/>
              </w:rPr>
            </w:pPr>
            <w:r w:rsidRPr="00AD1C60">
              <w:rPr>
                <w:rFonts w:eastAsia="Arial" w:cs="Arial"/>
                <w:szCs w:val="24"/>
              </w:rPr>
              <w:t>E</w:t>
            </w:r>
            <w:r w:rsidRPr="00AD1C60">
              <w:rPr>
                <w:rFonts w:eastAsia="Arial" w:cs="Arial"/>
                <w:spacing w:val="-2"/>
                <w:szCs w:val="24"/>
              </w:rPr>
              <w:t>v</w:t>
            </w:r>
            <w:r w:rsidRPr="00AD1C60">
              <w:rPr>
                <w:rFonts w:eastAsia="Arial" w:cs="Arial"/>
                <w:szCs w:val="24"/>
              </w:rPr>
              <w:t>id</w:t>
            </w:r>
            <w:r w:rsidRPr="00AD1C60">
              <w:rPr>
                <w:rFonts w:eastAsia="Arial" w:cs="Arial"/>
                <w:spacing w:val="1"/>
                <w:szCs w:val="24"/>
              </w:rPr>
              <w:t>en</w:t>
            </w:r>
            <w:r w:rsidRPr="00AD1C60">
              <w:rPr>
                <w:rFonts w:eastAsia="Arial" w:cs="Arial"/>
                <w:szCs w:val="24"/>
              </w:rPr>
              <w:t xml:space="preserve">ce </w:t>
            </w:r>
            <w:r w:rsidRPr="00AD1C60">
              <w:rPr>
                <w:rFonts w:eastAsia="Arial" w:cs="Arial"/>
                <w:spacing w:val="-1"/>
                <w:szCs w:val="24"/>
              </w:rPr>
              <w:t>o</w:t>
            </w:r>
            <w:r w:rsidRPr="00AD1C60">
              <w:rPr>
                <w:rFonts w:eastAsia="Arial" w:cs="Arial"/>
                <w:szCs w:val="24"/>
              </w:rPr>
              <w:t>f f</w:t>
            </w:r>
            <w:r w:rsidRPr="00AD1C60">
              <w:rPr>
                <w:rFonts w:eastAsia="Arial" w:cs="Arial"/>
                <w:spacing w:val="1"/>
                <w:szCs w:val="24"/>
              </w:rPr>
              <w:t>u</w:t>
            </w:r>
            <w:r w:rsidRPr="00AD1C60">
              <w:rPr>
                <w:rFonts w:eastAsia="Arial" w:cs="Arial"/>
                <w:szCs w:val="24"/>
              </w:rPr>
              <w:t>rt</w:t>
            </w:r>
            <w:r w:rsidRPr="00AD1C60">
              <w:rPr>
                <w:rFonts w:eastAsia="Arial" w:cs="Arial"/>
                <w:spacing w:val="-2"/>
                <w:szCs w:val="24"/>
              </w:rPr>
              <w:t>h</w:t>
            </w:r>
            <w:r w:rsidRPr="00AD1C60">
              <w:rPr>
                <w:rFonts w:eastAsia="Arial" w:cs="Arial"/>
                <w:spacing w:val="1"/>
                <w:szCs w:val="24"/>
              </w:rPr>
              <w:t>e</w:t>
            </w:r>
            <w:r w:rsidRPr="00AD1C60">
              <w:rPr>
                <w:rFonts w:eastAsia="Arial" w:cs="Arial"/>
                <w:szCs w:val="24"/>
              </w:rPr>
              <w:t>r pr</w:t>
            </w:r>
            <w:r w:rsidRPr="00AD1C60">
              <w:rPr>
                <w:rFonts w:eastAsia="Arial" w:cs="Arial"/>
                <w:spacing w:val="-2"/>
                <w:szCs w:val="24"/>
              </w:rPr>
              <w:t>o</w:t>
            </w:r>
            <w:r w:rsidRPr="00AD1C60">
              <w:rPr>
                <w:rFonts w:eastAsia="Arial" w:cs="Arial"/>
                <w:spacing w:val="3"/>
                <w:szCs w:val="24"/>
              </w:rPr>
              <w:t>f</w:t>
            </w:r>
            <w:r w:rsidRPr="00AD1C60">
              <w:rPr>
                <w:rFonts w:eastAsia="Arial" w:cs="Arial"/>
                <w:spacing w:val="1"/>
                <w:szCs w:val="24"/>
              </w:rPr>
              <w:t>e</w:t>
            </w:r>
            <w:r w:rsidRPr="00AD1C60">
              <w:rPr>
                <w:rFonts w:eastAsia="Arial" w:cs="Arial"/>
                <w:szCs w:val="24"/>
              </w:rPr>
              <w:t>ssi</w:t>
            </w:r>
            <w:r w:rsidRPr="00AD1C60">
              <w:rPr>
                <w:rFonts w:eastAsia="Arial" w:cs="Arial"/>
                <w:spacing w:val="-2"/>
                <w:szCs w:val="24"/>
              </w:rPr>
              <w:t>o</w:t>
            </w:r>
            <w:r w:rsidRPr="00AD1C60">
              <w:rPr>
                <w:rFonts w:eastAsia="Arial" w:cs="Arial"/>
                <w:spacing w:val="1"/>
                <w:szCs w:val="24"/>
              </w:rPr>
              <w:t>na</w:t>
            </w:r>
            <w:r w:rsidRPr="00AD1C60">
              <w:rPr>
                <w:rFonts w:eastAsia="Arial" w:cs="Arial"/>
                <w:szCs w:val="24"/>
              </w:rPr>
              <w:t>l de</w:t>
            </w:r>
            <w:r w:rsidRPr="00AD1C60">
              <w:rPr>
                <w:rFonts w:eastAsia="Arial" w:cs="Arial"/>
                <w:spacing w:val="-2"/>
                <w:szCs w:val="24"/>
              </w:rPr>
              <w:t>v</w:t>
            </w:r>
            <w:r w:rsidRPr="00AD1C60">
              <w:rPr>
                <w:rFonts w:eastAsia="Arial" w:cs="Arial"/>
                <w:spacing w:val="1"/>
                <w:szCs w:val="24"/>
              </w:rPr>
              <w:t>e</w:t>
            </w:r>
            <w:r w:rsidRPr="00AD1C60">
              <w:rPr>
                <w:rFonts w:eastAsia="Arial" w:cs="Arial"/>
                <w:szCs w:val="24"/>
              </w:rPr>
              <w:t>lo</w:t>
            </w:r>
            <w:r w:rsidRPr="00AD1C60">
              <w:rPr>
                <w:rFonts w:eastAsia="Arial" w:cs="Arial"/>
                <w:spacing w:val="1"/>
                <w:szCs w:val="24"/>
              </w:rPr>
              <w:t>pm</w:t>
            </w:r>
            <w:r w:rsidRPr="00AD1C60">
              <w:rPr>
                <w:rFonts w:eastAsia="Arial" w:cs="Arial"/>
                <w:spacing w:val="-1"/>
                <w:szCs w:val="24"/>
              </w:rPr>
              <w:t>e</w:t>
            </w:r>
            <w:r w:rsidRPr="00AD1C60">
              <w:rPr>
                <w:rFonts w:eastAsia="Arial" w:cs="Arial"/>
                <w:spacing w:val="1"/>
                <w:szCs w:val="24"/>
              </w:rPr>
              <w:t>n</w:t>
            </w:r>
            <w:r w:rsidRPr="00AD1C60">
              <w:rPr>
                <w:rFonts w:eastAsia="Arial" w:cs="Arial"/>
                <w:szCs w:val="24"/>
              </w:rPr>
              <w:t>t.</w:t>
            </w:r>
          </w:p>
          <w:p w14:paraId="7521A968" w14:textId="31218670" w:rsidR="0004712E" w:rsidRPr="00AD1C60" w:rsidRDefault="0004712E" w:rsidP="00AD1C60">
            <w:pPr>
              <w:rPr>
                <w:noProof/>
                <w:sz w:val="22"/>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BB320B" w:rsidRPr="0004712E" w:rsidRDefault="00BB320B" w:rsidP="0004712E">
            <w:pPr>
              <w:rPr>
                <w:noProof/>
                <w:sz w:val="22"/>
                <w:lang w:eastAsia="en-GB"/>
              </w:rPr>
            </w:pPr>
          </w:p>
          <w:p w14:paraId="6BEB0DAF" w14:textId="7D179926" w:rsidR="0004712E" w:rsidRPr="00AD1C60" w:rsidRDefault="0004712E" w:rsidP="0004712E">
            <w:pPr>
              <w:numPr>
                <w:ilvl w:val="0"/>
                <w:numId w:val="21"/>
              </w:numPr>
              <w:rPr>
                <w:bCs/>
                <w:szCs w:val="24"/>
              </w:rPr>
            </w:pPr>
            <w:r w:rsidRPr="00AD1C60">
              <w:rPr>
                <w:bCs/>
                <w:szCs w:val="24"/>
              </w:rPr>
              <w:t>Demonstrated relevant experience providing intensive support to individuals and/or families including developing and delivering planned interventions.</w:t>
            </w:r>
          </w:p>
          <w:p w14:paraId="3378F121" w14:textId="77777777" w:rsidR="0004712E" w:rsidRPr="00AD1C60" w:rsidRDefault="0004712E" w:rsidP="0004712E">
            <w:pPr>
              <w:numPr>
                <w:ilvl w:val="0"/>
                <w:numId w:val="21"/>
              </w:numPr>
              <w:rPr>
                <w:bCs/>
                <w:szCs w:val="24"/>
              </w:rPr>
            </w:pPr>
            <w:r w:rsidRPr="00AD1C60">
              <w:rPr>
                <w:bCs/>
                <w:szCs w:val="24"/>
              </w:rPr>
              <w:t>Experience of preventing homelessness and/or providing housing support to vulnerable clients.</w:t>
            </w:r>
          </w:p>
          <w:p w14:paraId="41C750E3" w14:textId="77777777" w:rsidR="0004712E" w:rsidRPr="00AD1C60" w:rsidRDefault="0004712E" w:rsidP="0004712E">
            <w:pPr>
              <w:numPr>
                <w:ilvl w:val="0"/>
                <w:numId w:val="21"/>
              </w:numPr>
              <w:rPr>
                <w:bCs/>
                <w:i/>
                <w:iCs/>
                <w:szCs w:val="24"/>
              </w:rPr>
            </w:pPr>
            <w:r w:rsidRPr="00AD1C60">
              <w:rPr>
                <w:bCs/>
                <w:szCs w:val="24"/>
              </w:rPr>
              <w:t>Working in a similarly challenging role.</w:t>
            </w:r>
          </w:p>
          <w:p w14:paraId="1676DC66" w14:textId="77777777" w:rsidR="0004712E" w:rsidRPr="00AD1C60" w:rsidRDefault="0004712E" w:rsidP="0004712E">
            <w:pPr>
              <w:numPr>
                <w:ilvl w:val="0"/>
                <w:numId w:val="21"/>
              </w:numPr>
              <w:rPr>
                <w:bCs/>
                <w:szCs w:val="24"/>
              </w:rPr>
            </w:pPr>
            <w:r w:rsidRPr="00AD1C60">
              <w:rPr>
                <w:bCs/>
                <w:szCs w:val="24"/>
              </w:rPr>
              <w:t>Experience of partnership working to achieve desired objectives.</w:t>
            </w:r>
          </w:p>
          <w:p w14:paraId="30036494" w14:textId="0D5B424B" w:rsidR="009D4904" w:rsidRPr="00AD1C60" w:rsidRDefault="0004712E" w:rsidP="0004712E">
            <w:pPr>
              <w:pStyle w:val="ListParagraph"/>
              <w:numPr>
                <w:ilvl w:val="0"/>
                <w:numId w:val="21"/>
              </w:numPr>
              <w:rPr>
                <w:bCs/>
                <w:szCs w:val="24"/>
              </w:rPr>
            </w:pPr>
            <w:r w:rsidRPr="00AD1C60">
              <w:rPr>
                <w:bCs/>
                <w:szCs w:val="24"/>
              </w:rPr>
              <w:t>Ability to carry out risk and needs assessments of service users and develop and implement effective support plans.</w:t>
            </w:r>
          </w:p>
          <w:p w14:paraId="0D8B1B05" w14:textId="61E52D30" w:rsidR="0004712E" w:rsidRPr="0004712E" w:rsidRDefault="0004712E" w:rsidP="0004712E">
            <w:pPr>
              <w:rPr>
                <w:noProof/>
                <w:sz w:val="22"/>
                <w:lang w:eastAsia="en-GB"/>
              </w:rPr>
            </w:pPr>
          </w:p>
        </w:tc>
        <w:tc>
          <w:tcPr>
            <w:tcW w:w="4961" w:type="dxa"/>
          </w:tcPr>
          <w:p w14:paraId="465302A9" w14:textId="77777777" w:rsidR="00BB320B" w:rsidRPr="0004712E" w:rsidRDefault="00BB320B" w:rsidP="0004712E">
            <w:pPr>
              <w:rPr>
                <w:noProof/>
                <w:sz w:val="22"/>
                <w:lang w:eastAsia="en-GB"/>
              </w:rPr>
            </w:pPr>
          </w:p>
          <w:p w14:paraId="6C0E2C09" w14:textId="37BCF3ED" w:rsidR="0004712E" w:rsidRPr="00AD1C60" w:rsidRDefault="0004712E" w:rsidP="0004712E">
            <w:pPr>
              <w:numPr>
                <w:ilvl w:val="0"/>
                <w:numId w:val="21"/>
              </w:numPr>
              <w:spacing w:line="276" w:lineRule="auto"/>
              <w:contextualSpacing/>
              <w:rPr>
                <w:rFonts w:eastAsia="Calibri"/>
                <w:szCs w:val="24"/>
              </w:rPr>
            </w:pPr>
            <w:r w:rsidRPr="00AD1C60">
              <w:rPr>
                <w:rFonts w:eastAsia="Calibri"/>
                <w:szCs w:val="24"/>
              </w:rPr>
              <w:t>Experience of working with refugees.</w:t>
            </w:r>
          </w:p>
          <w:p w14:paraId="76BC36C0" w14:textId="7FDFF1F4" w:rsidR="0004712E" w:rsidRPr="00AD1C60" w:rsidRDefault="0004712E" w:rsidP="0004712E">
            <w:pPr>
              <w:numPr>
                <w:ilvl w:val="0"/>
                <w:numId w:val="21"/>
              </w:numPr>
              <w:spacing w:line="276" w:lineRule="auto"/>
              <w:contextualSpacing/>
              <w:rPr>
                <w:rFonts w:eastAsia="Calibri"/>
                <w:szCs w:val="24"/>
              </w:rPr>
            </w:pPr>
            <w:r w:rsidRPr="00AD1C60">
              <w:rPr>
                <w:rFonts w:eastAsia="Calibri"/>
                <w:szCs w:val="24"/>
              </w:rPr>
              <w:t xml:space="preserve">Supporting individuals into education, </w:t>
            </w:r>
            <w:proofErr w:type="gramStart"/>
            <w:r w:rsidRPr="00AD1C60">
              <w:rPr>
                <w:rFonts w:eastAsia="Calibri"/>
                <w:szCs w:val="24"/>
              </w:rPr>
              <w:t>training</w:t>
            </w:r>
            <w:proofErr w:type="gramEnd"/>
            <w:r w:rsidRPr="00AD1C60">
              <w:rPr>
                <w:rFonts w:eastAsia="Calibri"/>
                <w:szCs w:val="24"/>
              </w:rPr>
              <w:t xml:space="preserve"> and employment.</w:t>
            </w:r>
          </w:p>
          <w:p w14:paraId="696A7AF3" w14:textId="29D102B9" w:rsidR="009D4904" w:rsidRPr="0004712E" w:rsidRDefault="009D4904" w:rsidP="00AD1C60">
            <w:pPr>
              <w:pStyle w:val="ListParagraph"/>
              <w:ind w:left="360"/>
              <w:rPr>
                <w:noProof/>
                <w:sz w:val="22"/>
                <w:lang w:eastAsia="en-GB"/>
              </w:rPr>
            </w:pPr>
          </w:p>
        </w:tc>
      </w:tr>
      <w:tr w:rsidR="00BB320B" w14:paraId="4CD92E5B" w14:textId="77777777" w:rsidTr="0004712E">
        <w:trPr>
          <w:trHeight w:val="71"/>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BB320B" w:rsidRPr="0004712E" w:rsidRDefault="00BB320B" w:rsidP="0004712E">
            <w:pPr>
              <w:rPr>
                <w:noProof/>
                <w:sz w:val="22"/>
                <w:lang w:eastAsia="en-GB"/>
              </w:rPr>
            </w:pPr>
          </w:p>
          <w:p w14:paraId="6FBA881A" w14:textId="77777777" w:rsidR="00AD1C60" w:rsidRPr="00AD1C60" w:rsidRDefault="00AD1C60" w:rsidP="00AD1C60">
            <w:pPr>
              <w:pStyle w:val="Header"/>
              <w:numPr>
                <w:ilvl w:val="0"/>
                <w:numId w:val="21"/>
              </w:numPr>
              <w:tabs>
                <w:tab w:val="clear" w:pos="4513"/>
                <w:tab w:val="clear" w:pos="9026"/>
                <w:tab w:val="center" w:pos="726"/>
                <w:tab w:val="right" w:pos="8306"/>
              </w:tabs>
              <w:rPr>
                <w:noProof/>
                <w:sz w:val="22"/>
                <w:lang w:eastAsia="en-GB"/>
              </w:rPr>
            </w:pPr>
            <w:r>
              <w:t xml:space="preserve">Knowledge of Housing Solutions </w:t>
            </w:r>
          </w:p>
          <w:p w14:paraId="5A5768B9" w14:textId="7E3DE573" w:rsidR="00AD1C60" w:rsidRPr="00AD1C60" w:rsidRDefault="00AD1C60" w:rsidP="00AD1C60">
            <w:pPr>
              <w:pStyle w:val="Header"/>
              <w:numPr>
                <w:ilvl w:val="0"/>
                <w:numId w:val="21"/>
              </w:numPr>
              <w:tabs>
                <w:tab w:val="clear" w:pos="4513"/>
                <w:tab w:val="clear" w:pos="9026"/>
                <w:tab w:val="center" w:pos="726"/>
                <w:tab w:val="right" w:pos="8306"/>
              </w:tabs>
              <w:rPr>
                <w:noProof/>
                <w:sz w:val="22"/>
                <w:lang w:eastAsia="en-GB"/>
              </w:rPr>
            </w:pPr>
            <w:r>
              <w:t>Knowledge of the Resettlement</w:t>
            </w:r>
            <w:r w:rsidR="006127F9">
              <w:t>/Humanitarian support</w:t>
            </w:r>
          </w:p>
          <w:p w14:paraId="0E627D63" w14:textId="3E2EA273" w:rsidR="00AD1C60" w:rsidRPr="00AD1C60" w:rsidRDefault="00AD1C60" w:rsidP="00AD1C60">
            <w:pPr>
              <w:pStyle w:val="Header"/>
              <w:numPr>
                <w:ilvl w:val="0"/>
                <w:numId w:val="21"/>
              </w:numPr>
              <w:tabs>
                <w:tab w:val="clear" w:pos="4513"/>
                <w:tab w:val="clear" w:pos="9026"/>
                <w:tab w:val="center" w:pos="726"/>
                <w:tab w:val="right" w:pos="8306"/>
              </w:tabs>
              <w:rPr>
                <w:noProof/>
                <w:sz w:val="22"/>
                <w:lang w:eastAsia="en-GB"/>
              </w:rPr>
            </w:pPr>
            <w:r>
              <w:t>Well-developed specialist knowledge relevant to working with individuals and families with multiple and complex needs.</w:t>
            </w:r>
          </w:p>
          <w:p w14:paraId="4F034B5E" w14:textId="7E0ACD5B" w:rsidR="00AD1C60" w:rsidRPr="00AD1C60" w:rsidRDefault="00AD1C60" w:rsidP="00AD1C60">
            <w:pPr>
              <w:pStyle w:val="Header"/>
              <w:numPr>
                <w:ilvl w:val="0"/>
                <w:numId w:val="21"/>
              </w:numPr>
              <w:tabs>
                <w:tab w:val="clear" w:pos="4513"/>
                <w:tab w:val="clear" w:pos="9026"/>
                <w:tab w:val="center" w:pos="726"/>
                <w:tab w:val="right" w:pos="8306"/>
              </w:tabs>
              <w:rPr>
                <w:noProof/>
                <w:sz w:val="22"/>
                <w:lang w:eastAsia="en-GB"/>
              </w:rPr>
            </w:pPr>
            <w:r>
              <w:t>Knowledge of Durham County Councils safeguarding policies and procedures for children and adults, including Early Help.</w:t>
            </w:r>
          </w:p>
          <w:p w14:paraId="63728EAA" w14:textId="31C5D422" w:rsidR="00AD1C60" w:rsidRPr="00AD1C60" w:rsidRDefault="00AD1C60" w:rsidP="00AD1C60">
            <w:pPr>
              <w:pStyle w:val="Header"/>
              <w:numPr>
                <w:ilvl w:val="0"/>
                <w:numId w:val="21"/>
              </w:numPr>
              <w:tabs>
                <w:tab w:val="clear" w:pos="4513"/>
                <w:tab w:val="clear" w:pos="9026"/>
                <w:tab w:val="center" w:pos="726"/>
                <w:tab w:val="right" w:pos="8306"/>
              </w:tabs>
              <w:rPr>
                <w:noProof/>
                <w:sz w:val="22"/>
                <w:lang w:eastAsia="en-GB"/>
              </w:rPr>
            </w:pPr>
            <w:r>
              <w:t>Excellent organisational skills</w:t>
            </w:r>
          </w:p>
          <w:p w14:paraId="4212654A" w14:textId="39B121EE" w:rsidR="00AD1C60" w:rsidRPr="00AD1C60" w:rsidRDefault="00AD1C60" w:rsidP="00AD1C60">
            <w:pPr>
              <w:pStyle w:val="Header"/>
              <w:numPr>
                <w:ilvl w:val="0"/>
                <w:numId w:val="21"/>
              </w:numPr>
              <w:tabs>
                <w:tab w:val="clear" w:pos="4513"/>
                <w:tab w:val="clear" w:pos="9026"/>
                <w:tab w:val="center" w:pos="726"/>
                <w:tab w:val="right" w:pos="8306"/>
              </w:tabs>
              <w:rPr>
                <w:noProof/>
                <w:sz w:val="22"/>
                <w:lang w:eastAsia="en-GB"/>
              </w:rPr>
            </w:pPr>
            <w:r>
              <w:t xml:space="preserve">Negotiation and mediation skills </w:t>
            </w:r>
          </w:p>
          <w:p w14:paraId="4F9CD1F7" w14:textId="3B8BEEB6" w:rsidR="00AD1C60" w:rsidRPr="00AD1C60" w:rsidRDefault="00AD1C60" w:rsidP="00AD1C60">
            <w:pPr>
              <w:pStyle w:val="Header"/>
              <w:numPr>
                <w:ilvl w:val="0"/>
                <w:numId w:val="21"/>
              </w:numPr>
              <w:tabs>
                <w:tab w:val="clear" w:pos="4513"/>
                <w:tab w:val="clear" w:pos="9026"/>
                <w:tab w:val="center" w:pos="726"/>
                <w:tab w:val="right" w:pos="8306"/>
              </w:tabs>
              <w:rPr>
                <w:noProof/>
                <w:sz w:val="22"/>
                <w:lang w:eastAsia="en-GB"/>
              </w:rPr>
            </w:pPr>
            <w:r>
              <w:t xml:space="preserve">Ability to effectively manage a diverse workload through to results </w:t>
            </w:r>
          </w:p>
          <w:p w14:paraId="1C977C66" w14:textId="3C2840D1" w:rsidR="00AD1C60" w:rsidRPr="00AD1C60" w:rsidRDefault="00AD1C60" w:rsidP="00AD1C60">
            <w:pPr>
              <w:pStyle w:val="Header"/>
              <w:numPr>
                <w:ilvl w:val="0"/>
                <w:numId w:val="21"/>
              </w:numPr>
              <w:tabs>
                <w:tab w:val="clear" w:pos="4513"/>
                <w:tab w:val="clear" w:pos="9026"/>
                <w:tab w:val="center" w:pos="726"/>
                <w:tab w:val="right" w:pos="8306"/>
              </w:tabs>
              <w:rPr>
                <w:noProof/>
                <w:sz w:val="22"/>
                <w:lang w:eastAsia="en-GB"/>
              </w:rPr>
            </w:pPr>
            <w:r>
              <w:t xml:space="preserve">Excellent interpersonal skills </w:t>
            </w:r>
          </w:p>
          <w:p w14:paraId="6DBF2692" w14:textId="44B2D8A8" w:rsidR="0004712E" w:rsidRPr="00AD1C60" w:rsidRDefault="00AD1C60" w:rsidP="00AD1C60">
            <w:pPr>
              <w:pStyle w:val="Header"/>
              <w:numPr>
                <w:ilvl w:val="0"/>
                <w:numId w:val="21"/>
              </w:numPr>
              <w:tabs>
                <w:tab w:val="clear" w:pos="4513"/>
                <w:tab w:val="clear" w:pos="9026"/>
                <w:tab w:val="center" w:pos="726"/>
                <w:tab w:val="right" w:pos="8306"/>
              </w:tabs>
              <w:rPr>
                <w:noProof/>
                <w:sz w:val="22"/>
                <w:lang w:eastAsia="en-GB"/>
              </w:rPr>
            </w:pPr>
            <w:r>
              <w:t>Good verbal and written communication skill</w:t>
            </w:r>
          </w:p>
          <w:p w14:paraId="41067EA4" w14:textId="7A8C26F3" w:rsidR="00AD1C60" w:rsidRPr="0004712E" w:rsidRDefault="00AD1C60" w:rsidP="00AD1C60">
            <w:pPr>
              <w:pStyle w:val="Header"/>
              <w:tabs>
                <w:tab w:val="clear" w:pos="4513"/>
                <w:tab w:val="clear" w:pos="9026"/>
                <w:tab w:val="center" w:pos="726"/>
                <w:tab w:val="right" w:pos="8306"/>
              </w:tabs>
              <w:ind w:left="360"/>
              <w:rPr>
                <w:noProof/>
                <w:sz w:val="22"/>
                <w:lang w:eastAsia="en-GB"/>
              </w:rPr>
            </w:pPr>
          </w:p>
        </w:tc>
        <w:tc>
          <w:tcPr>
            <w:tcW w:w="4961" w:type="dxa"/>
          </w:tcPr>
          <w:p w14:paraId="39C4B04E" w14:textId="77777777" w:rsidR="009D4904" w:rsidRDefault="009D4904" w:rsidP="00EB447F">
            <w:pPr>
              <w:pStyle w:val="ListParagraph"/>
              <w:ind w:left="360"/>
              <w:rPr>
                <w:noProof/>
                <w:sz w:val="22"/>
                <w:lang w:eastAsia="en-GB"/>
              </w:rPr>
            </w:pPr>
          </w:p>
          <w:p w14:paraId="3A2C3B1A" w14:textId="77777777" w:rsidR="00AD1C60" w:rsidRPr="00AD1C60" w:rsidRDefault="00AD1C60" w:rsidP="00AD1C60">
            <w:pPr>
              <w:pStyle w:val="ListParagraph"/>
              <w:numPr>
                <w:ilvl w:val="0"/>
                <w:numId w:val="21"/>
              </w:numPr>
              <w:rPr>
                <w:noProof/>
                <w:sz w:val="22"/>
                <w:lang w:eastAsia="en-GB"/>
              </w:rPr>
            </w:pPr>
            <w:r>
              <w:t xml:space="preserve">Knowledge of national and regional housing issues </w:t>
            </w:r>
          </w:p>
          <w:p w14:paraId="61E29774" w14:textId="27987706" w:rsidR="00AD1C60" w:rsidRPr="0004712E" w:rsidRDefault="00AD1C60" w:rsidP="006127F9">
            <w:pPr>
              <w:pStyle w:val="ListParagraph"/>
              <w:ind w:left="360"/>
              <w:rPr>
                <w:noProof/>
                <w:sz w:val="22"/>
                <w:lang w:eastAsia="en-GB"/>
              </w:rPr>
            </w:pPr>
          </w:p>
        </w:tc>
      </w:tr>
      <w:tr w:rsidR="00BB320B" w14:paraId="6DC7125D" w14:textId="77777777" w:rsidTr="00AD1C60">
        <w:trPr>
          <w:trHeight w:val="2117"/>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37AB69D" w14:textId="77777777" w:rsidR="009D4904" w:rsidRPr="0004712E" w:rsidRDefault="009D4904" w:rsidP="0004712E">
            <w:pPr>
              <w:pStyle w:val="ListParagraph"/>
              <w:widowControl w:val="0"/>
              <w:tabs>
                <w:tab w:val="left" w:pos="432"/>
              </w:tabs>
              <w:suppressAutoHyphens/>
              <w:ind w:left="360"/>
              <w:rPr>
                <w:noProof/>
                <w:sz w:val="22"/>
                <w:lang w:eastAsia="en-GB"/>
              </w:rPr>
            </w:pPr>
          </w:p>
          <w:p w14:paraId="7FDD0D2F" w14:textId="77777777" w:rsidR="00AD1C60" w:rsidRPr="00AD1C60" w:rsidRDefault="00AD1C60" w:rsidP="00AD1C60">
            <w:pPr>
              <w:pStyle w:val="ListParagraph"/>
              <w:widowControl w:val="0"/>
              <w:numPr>
                <w:ilvl w:val="0"/>
                <w:numId w:val="47"/>
              </w:numPr>
              <w:tabs>
                <w:tab w:val="left" w:pos="432"/>
              </w:tabs>
              <w:suppressAutoHyphens/>
              <w:ind w:left="483"/>
              <w:rPr>
                <w:noProof/>
                <w:sz w:val="22"/>
                <w:lang w:eastAsia="en-GB"/>
              </w:rPr>
            </w:pPr>
            <w:r>
              <w:t xml:space="preserve">Strong commitment to customer care dealing with customers in a courteous and caring manner </w:t>
            </w:r>
          </w:p>
          <w:p w14:paraId="16AE2858" w14:textId="67916576" w:rsidR="00AD1C60" w:rsidRPr="00AD1C60" w:rsidRDefault="00AD1C60" w:rsidP="00AD1C60">
            <w:pPr>
              <w:pStyle w:val="ListParagraph"/>
              <w:widowControl w:val="0"/>
              <w:numPr>
                <w:ilvl w:val="0"/>
                <w:numId w:val="47"/>
              </w:numPr>
              <w:tabs>
                <w:tab w:val="left" w:pos="432"/>
              </w:tabs>
              <w:suppressAutoHyphens/>
              <w:ind w:left="483"/>
              <w:rPr>
                <w:noProof/>
                <w:sz w:val="22"/>
                <w:lang w:eastAsia="en-GB"/>
              </w:rPr>
            </w:pPr>
            <w:r>
              <w:t xml:space="preserve">Ability to deal with issues sensitively and confidentially </w:t>
            </w:r>
          </w:p>
          <w:p w14:paraId="7F22AF4A" w14:textId="6DEE3C6F" w:rsidR="00AD1C60" w:rsidRPr="00AD1C60" w:rsidRDefault="00AD1C60" w:rsidP="00AD1C60">
            <w:pPr>
              <w:pStyle w:val="ListParagraph"/>
              <w:widowControl w:val="0"/>
              <w:numPr>
                <w:ilvl w:val="0"/>
                <w:numId w:val="47"/>
              </w:numPr>
              <w:tabs>
                <w:tab w:val="left" w:pos="432"/>
              </w:tabs>
              <w:suppressAutoHyphens/>
              <w:ind w:left="483"/>
              <w:rPr>
                <w:noProof/>
                <w:sz w:val="22"/>
                <w:lang w:eastAsia="en-GB"/>
              </w:rPr>
            </w:pPr>
            <w:r>
              <w:t xml:space="preserve">Access to a car or means of mobility support (if driving then must have a current valid driving licence and appropriate insurance) </w:t>
            </w:r>
          </w:p>
          <w:p w14:paraId="69ADC98F" w14:textId="0153263A" w:rsidR="0004712E" w:rsidRPr="00AD1C60" w:rsidRDefault="00AD1C60" w:rsidP="00AD1C60">
            <w:pPr>
              <w:pStyle w:val="ListParagraph"/>
              <w:widowControl w:val="0"/>
              <w:numPr>
                <w:ilvl w:val="0"/>
                <w:numId w:val="47"/>
              </w:numPr>
              <w:tabs>
                <w:tab w:val="left" w:pos="432"/>
              </w:tabs>
              <w:suppressAutoHyphens/>
              <w:ind w:left="483"/>
              <w:rPr>
                <w:noProof/>
                <w:sz w:val="22"/>
                <w:lang w:eastAsia="en-GB"/>
              </w:rPr>
            </w:pPr>
            <w:r>
              <w:t>Flexible and willing to work outside normal working hours when required</w:t>
            </w:r>
          </w:p>
        </w:tc>
        <w:tc>
          <w:tcPr>
            <w:tcW w:w="4961" w:type="dxa"/>
          </w:tcPr>
          <w:p w14:paraId="50AF3D14" w14:textId="59F262B3" w:rsidR="00BB320B" w:rsidRPr="0004712E" w:rsidRDefault="00BB320B" w:rsidP="0004712E">
            <w:pPr>
              <w:rPr>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425C" w14:textId="77777777" w:rsidR="00D639CC" w:rsidRDefault="00D639CC" w:rsidP="0077606C">
      <w:r>
        <w:separator/>
      </w:r>
    </w:p>
  </w:endnote>
  <w:endnote w:type="continuationSeparator" w:id="0">
    <w:p w14:paraId="756DA9EC" w14:textId="77777777" w:rsidR="00D639CC" w:rsidRDefault="00D639C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9029" w14:textId="77777777" w:rsidR="00D639CC" w:rsidRDefault="00D639CC" w:rsidP="0077606C">
      <w:r>
        <w:separator/>
      </w:r>
    </w:p>
  </w:footnote>
  <w:footnote w:type="continuationSeparator" w:id="0">
    <w:p w14:paraId="4655BEA5" w14:textId="77777777" w:rsidR="00D639CC" w:rsidRDefault="00D639C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B112A79"/>
    <w:multiLevelType w:val="hybridMultilevel"/>
    <w:tmpl w:val="5D74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1B1919"/>
    <w:multiLevelType w:val="hybridMultilevel"/>
    <w:tmpl w:val="3584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43E38"/>
    <w:multiLevelType w:val="hybridMultilevel"/>
    <w:tmpl w:val="19BA3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B2C1D"/>
    <w:multiLevelType w:val="hybridMultilevel"/>
    <w:tmpl w:val="3776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D3811"/>
    <w:multiLevelType w:val="hybridMultilevel"/>
    <w:tmpl w:val="2104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C7982"/>
    <w:multiLevelType w:val="hybridMultilevel"/>
    <w:tmpl w:val="C65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937DE"/>
    <w:multiLevelType w:val="multilevel"/>
    <w:tmpl w:val="9856817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CB14A5"/>
    <w:multiLevelType w:val="hybridMultilevel"/>
    <w:tmpl w:val="806E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A72850"/>
    <w:multiLevelType w:val="hybridMultilevel"/>
    <w:tmpl w:val="C516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B66CE8"/>
    <w:multiLevelType w:val="multilevel"/>
    <w:tmpl w:val="852EBEF2"/>
    <w:lvl w:ilvl="0">
      <w:start w:val="8"/>
      <w:numFmt w:val="decimal"/>
      <w:lvlText w:val="%1"/>
      <w:lvlJc w:val="left"/>
      <w:pPr>
        <w:ind w:left="420" w:hanging="420"/>
      </w:pPr>
      <w:rPr>
        <w:rFonts w:hint="default"/>
      </w:rPr>
    </w:lvl>
    <w:lvl w:ilvl="1">
      <w:start w:val="12"/>
      <w:numFmt w:val="decimal"/>
      <w:lvlText w:val="%1.%2"/>
      <w:lvlJc w:val="left"/>
      <w:pPr>
        <w:ind w:left="420" w:hanging="4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9"/>
  </w:num>
  <w:num w:numId="4">
    <w:abstractNumId w:val="25"/>
  </w:num>
  <w:num w:numId="5">
    <w:abstractNumId w:val="1"/>
  </w:num>
  <w:num w:numId="6">
    <w:abstractNumId w:val="37"/>
  </w:num>
  <w:num w:numId="7">
    <w:abstractNumId w:val="42"/>
  </w:num>
  <w:num w:numId="8">
    <w:abstractNumId w:val="13"/>
  </w:num>
  <w:num w:numId="9">
    <w:abstractNumId w:val="41"/>
  </w:num>
  <w:num w:numId="10">
    <w:abstractNumId w:val="30"/>
  </w:num>
  <w:num w:numId="11">
    <w:abstractNumId w:val="10"/>
  </w:num>
  <w:num w:numId="12">
    <w:abstractNumId w:val="39"/>
  </w:num>
  <w:num w:numId="13">
    <w:abstractNumId w:val="38"/>
  </w:num>
  <w:num w:numId="14">
    <w:abstractNumId w:val="34"/>
  </w:num>
  <w:num w:numId="15">
    <w:abstractNumId w:val="23"/>
  </w:num>
  <w:num w:numId="16">
    <w:abstractNumId w:val="20"/>
  </w:num>
  <w:num w:numId="17">
    <w:abstractNumId w:val="5"/>
  </w:num>
  <w:num w:numId="18">
    <w:abstractNumId w:val="0"/>
  </w:num>
  <w:num w:numId="19">
    <w:abstractNumId w:val="16"/>
  </w:num>
  <w:num w:numId="20">
    <w:abstractNumId w:val="26"/>
  </w:num>
  <w:num w:numId="21">
    <w:abstractNumId w:val="17"/>
  </w:num>
  <w:num w:numId="22">
    <w:abstractNumId w:val="17"/>
  </w:num>
  <w:num w:numId="23">
    <w:abstractNumId w:val="29"/>
  </w:num>
  <w:num w:numId="24">
    <w:abstractNumId w:val="28"/>
  </w:num>
  <w:num w:numId="25">
    <w:abstractNumId w:val="12"/>
  </w:num>
  <w:num w:numId="26">
    <w:abstractNumId w:val="32"/>
  </w:num>
  <w:num w:numId="27">
    <w:abstractNumId w:val="11"/>
  </w:num>
  <w:num w:numId="28">
    <w:abstractNumId w:val="18"/>
  </w:num>
  <w:num w:numId="29">
    <w:abstractNumId w:val="27"/>
  </w:num>
  <w:num w:numId="30">
    <w:abstractNumId w:val="40"/>
  </w:num>
  <w:num w:numId="31">
    <w:abstractNumId w:val="22"/>
  </w:num>
  <w:num w:numId="32">
    <w:abstractNumId w:val="45"/>
  </w:num>
  <w:num w:numId="33">
    <w:abstractNumId w:val="4"/>
  </w:num>
  <w:num w:numId="34">
    <w:abstractNumId w:val="6"/>
  </w:num>
  <w:num w:numId="35">
    <w:abstractNumId w:val="8"/>
  </w:num>
  <w:num w:numId="36">
    <w:abstractNumId w:val="14"/>
  </w:num>
  <w:num w:numId="37">
    <w:abstractNumId w:val="2"/>
  </w:num>
  <w:num w:numId="38">
    <w:abstractNumId w:val="19"/>
  </w:num>
  <w:num w:numId="39">
    <w:abstractNumId w:val="33"/>
  </w:num>
  <w:num w:numId="40">
    <w:abstractNumId w:val="44"/>
  </w:num>
  <w:num w:numId="41">
    <w:abstractNumId w:val="21"/>
  </w:num>
  <w:num w:numId="42">
    <w:abstractNumId w:val="3"/>
  </w:num>
  <w:num w:numId="43">
    <w:abstractNumId w:val="35"/>
  </w:num>
  <w:num w:numId="44">
    <w:abstractNumId w:val="24"/>
  </w:num>
  <w:num w:numId="45">
    <w:abstractNumId w:val="43"/>
  </w:num>
  <w:num w:numId="46">
    <w:abstractNumId w:val="3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4712E"/>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092C"/>
    <w:rsid w:val="001F3088"/>
    <w:rsid w:val="00200FC1"/>
    <w:rsid w:val="0020508B"/>
    <w:rsid w:val="002120A1"/>
    <w:rsid w:val="00217193"/>
    <w:rsid w:val="0022618A"/>
    <w:rsid w:val="00230A2A"/>
    <w:rsid w:val="0023418E"/>
    <w:rsid w:val="0023792C"/>
    <w:rsid w:val="002659ED"/>
    <w:rsid w:val="002726DB"/>
    <w:rsid w:val="00272889"/>
    <w:rsid w:val="00287FE1"/>
    <w:rsid w:val="002A4499"/>
    <w:rsid w:val="002A5B3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27F9"/>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5997"/>
    <w:rsid w:val="00790298"/>
    <w:rsid w:val="007C7799"/>
    <w:rsid w:val="007D0480"/>
    <w:rsid w:val="007D2D88"/>
    <w:rsid w:val="007E2246"/>
    <w:rsid w:val="008061D3"/>
    <w:rsid w:val="00815FF5"/>
    <w:rsid w:val="008177B2"/>
    <w:rsid w:val="00817F2F"/>
    <w:rsid w:val="00834151"/>
    <w:rsid w:val="00845787"/>
    <w:rsid w:val="00856701"/>
    <w:rsid w:val="008626D8"/>
    <w:rsid w:val="00863413"/>
    <w:rsid w:val="008864D4"/>
    <w:rsid w:val="00886C91"/>
    <w:rsid w:val="008C6D44"/>
    <w:rsid w:val="008E5D50"/>
    <w:rsid w:val="008F20BF"/>
    <w:rsid w:val="008F34B3"/>
    <w:rsid w:val="008F4BDD"/>
    <w:rsid w:val="00912182"/>
    <w:rsid w:val="009261F7"/>
    <w:rsid w:val="00930249"/>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1C60"/>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C06FCC"/>
    <w:rsid w:val="00C24B06"/>
    <w:rsid w:val="00C25C7C"/>
    <w:rsid w:val="00C30CD5"/>
    <w:rsid w:val="00C4535B"/>
    <w:rsid w:val="00C51B00"/>
    <w:rsid w:val="00C54071"/>
    <w:rsid w:val="00C7257C"/>
    <w:rsid w:val="00C761B2"/>
    <w:rsid w:val="00C77FCE"/>
    <w:rsid w:val="00C839E2"/>
    <w:rsid w:val="00C85B30"/>
    <w:rsid w:val="00C86B50"/>
    <w:rsid w:val="00CC2879"/>
    <w:rsid w:val="00CE186A"/>
    <w:rsid w:val="00D0359E"/>
    <w:rsid w:val="00D151A4"/>
    <w:rsid w:val="00D25915"/>
    <w:rsid w:val="00D32419"/>
    <w:rsid w:val="00D639CC"/>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447F"/>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A0234"/>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04712E"/>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6212A716-960E-41EE-A29C-81AB43BF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8702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2022-11-07T14:17:00Z</dcterms:created>
  <dcterms:modified xsi:type="dcterms:W3CDTF">2022-11-07T14:17:00Z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