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3D2DEABA" w14:textId="47EC92D9" w:rsidR="00D6736E" w:rsidRDefault="00393E23" w:rsidP="00214D70">
      <w:pPr>
        <w:tabs>
          <w:tab w:val="left" w:pos="2694"/>
        </w:tabs>
        <w:ind w:left="1440" w:hanging="1440"/>
        <w:rPr>
          <w:rFonts w:ascii="Arial" w:hAnsi="Arial"/>
          <w:b/>
          <w:bCs/>
          <w:sz w:val="28"/>
          <w:szCs w:val="28"/>
        </w:rPr>
      </w:pPr>
      <w:r w:rsidRPr="001F1FF1">
        <w:rPr>
          <w:rFonts w:ascii="Arial" w:hAnsi="Arial" w:cs="Arial"/>
          <w:b/>
          <w:bCs/>
        </w:rPr>
        <w:t>Job title:</w:t>
      </w:r>
      <w:r w:rsidR="00D6736E">
        <w:rPr>
          <w:rFonts w:ascii="Arial" w:hAnsi="Arial" w:cs="Arial"/>
          <w:b/>
          <w:bCs/>
        </w:rPr>
        <w:t xml:space="preserve"> </w:t>
      </w:r>
      <w:r w:rsidR="00A40155">
        <w:rPr>
          <w:rFonts w:ascii="Arial" w:hAnsi="Arial" w:cs="Arial"/>
          <w:b/>
          <w:bCs/>
        </w:rPr>
        <w:t>Environmental Services Officer (Waste and Recycling Services)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62824942" w14:textId="77777777" w:rsidR="000E47E2" w:rsidRDefault="00956CE2" w:rsidP="00956CE2">
      <w:pPr>
        <w:suppressAutoHyphens w:val="0"/>
        <w:overflowPunct/>
        <w:autoSpaceDE/>
        <w:autoSpaceDN/>
        <w:textAlignment w:val="auto"/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  <w:r w:rsidR="000E47E2" w:rsidRPr="000E47E2">
        <w:t xml:space="preserve"> </w:t>
      </w:r>
    </w:p>
    <w:p w14:paraId="02BDD5BE" w14:textId="6F70FB32" w:rsidR="00956CE2" w:rsidRPr="00956CE2" w:rsidRDefault="000E47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Each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listed requirement 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state how it will be assessed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e.g.</w:t>
      </w:r>
      <w:proofErr w:type="gramEnd"/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application form, interview, online assessment, work-based test and certificate.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74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3373"/>
      </w:tblGrid>
      <w:tr w:rsidR="00511D45" w:rsidRPr="003613A7" w14:paraId="01B2A873" w14:textId="77777777" w:rsidTr="0046569D">
        <w:trPr>
          <w:trHeight w:val="316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555B995" w14:textId="1C66CDED" w:rsidR="00511D45" w:rsidRPr="003613A7" w:rsidRDefault="00511D45" w:rsidP="00511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4BD6AAF" w14:textId="4307A3AB" w:rsidR="00511D45" w:rsidRDefault="00511D45" w:rsidP="00511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4E0A" w:rsidRPr="003613A7" w14:paraId="7A5622BF" w14:textId="766DC526" w:rsidTr="00882092">
        <w:trPr>
          <w:trHeight w:val="316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5203E4" w14:textId="3B09CFC9" w:rsidR="00314E0A" w:rsidRPr="004A7F7C" w:rsidRDefault="00314E0A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Qualifications / </w:t>
            </w:r>
          </w:p>
          <w:p w14:paraId="0BDA45BC" w14:textId="77777777" w:rsidR="00314E0A" w:rsidRPr="004A7F7C" w:rsidRDefault="00314E0A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F7C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4E0A" w:rsidRPr="004A7F7C" w:rsidRDefault="00314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F7C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4E0A" w:rsidRPr="004A7F7C" w:rsidRDefault="00314E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80BF5" w14:textId="68FB68CE" w:rsidR="00314E0A" w:rsidRPr="004A7F7C" w:rsidRDefault="00314E0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7D1C7A2" w14:textId="1D25E322" w:rsidR="00314E0A" w:rsidRPr="00314E0A" w:rsidRDefault="00314E0A" w:rsidP="00F450AE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Full UK driving licen</w:t>
            </w:r>
            <w:r w:rsidR="00DD0CFB">
              <w:rPr>
                <w:rFonts w:ascii="Arial" w:hAnsi="Arial" w:cs="Arial"/>
                <w:sz w:val="20"/>
                <w:szCs w:val="20"/>
              </w:rPr>
              <w:t>c</w:t>
            </w:r>
            <w:r w:rsidRPr="00314E0A">
              <w:rPr>
                <w:rFonts w:ascii="Arial" w:hAnsi="Arial" w:cs="Arial"/>
                <w:sz w:val="20"/>
                <w:szCs w:val="20"/>
              </w:rPr>
              <w:t>e.</w:t>
            </w:r>
          </w:p>
          <w:p w14:paraId="46FFAE7D" w14:textId="4328FC0C" w:rsidR="00314E0A" w:rsidRPr="00314E0A" w:rsidRDefault="00314E0A" w:rsidP="0E874F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2DDEFC" w14:textId="77777777" w:rsidR="00314E0A" w:rsidRPr="00314E0A" w:rsidRDefault="00314E0A" w:rsidP="00DD0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  <w:p w14:paraId="6AD02A82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43EAE720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E0A" w:rsidRPr="003613A7" w14:paraId="6D559952" w14:textId="77777777" w:rsidTr="00882092">
        <w:trPr>
          <w:trHeight w:val="277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CF6B96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DF8543A" w14:textId="77777777" w:rsidR="00314E0A" w:rsidRPr="00314E0A" w:rsidRDefault="00314E0A" w:rsidP="009A16E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(preferrable) Category C Driving license.</w:t>
            </w:r>
          </w:p>
          <w:p w14:paraId="1F5F2732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F6A81" w14:textId="3ED42251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E0A" w:rsidRPr="003613A7" w14:paraId="3B977BEB" w14:textId="272C166C" w:rsidTr="00C23019">
        <w:trPr>
          <w:trHeight w:val="274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47BCE3" w14:textId="6B3F7739" w:rsidR="00314E0A" w:rsidRPr="004A7F7C" w:rsidRDefault="00314E0A" w:rsidP="007B252B">
            <w:pPr>
              <w:rPr>
                <w:rFonts w:ascii="Arial" w:hAnsi="Arial" w:cs="Arial"/>
                <w:sz w:val="20"/>
                <w:szCs w:val="20"/>
              </w:rPr>
            </w:pPr>
            <w:r w:rsidRPr="004A7F7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314E0A" w:rsidRPr="004A7F7C" w:rsidRDefault="00314E0A" w:rsidP="007B2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D1F6BA7" w14:textId="77777777" w:rsidR="00314E0A" w:rsidRPr="00314E0A" w:rsidRDefault="00314E0A" w:rsidP="001560C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Management experience in Waste and Recycling collection services.</w:t>
            </w:r>
          </w:p>
          <w:p w14:paraId="45C9F1A5" w14:textId="4FDAC9AE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D2260D" w14:textId="77777777" w:rsidR="00314E0A" w:rsidRPr="00314E0A" w:rsidRDefault="00314E0A" w:rsidP="00DD0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  <w:p w14:paraId="550AC4E5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74E71C6B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E0A" w:rsidRPr="003613A7" w14:paraId="524AF2A5" w14:textId="77777777" w:rsidTr="00C23019">
        <w:trPr>
          <w:trHeight w:val="136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FBBBF3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7AD28D3" w14:textId="77777777" w:rsidR="00314E0A" w:rsidRPr="00314E0A" w:rsidRDefault="00314E0A" w:rsidP="00BC66A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 xml:space="preserve">Supporting the management and development of </w:t>
            </w:r>
            <w:proofErr w:type="gramStart"/>
            <w:r w:rsidRPr="00314E0A">
              <w:rPr>
                <w:rFonts w:ascii="Arial" w:hAnsi="Arial" w:cs="Arial"/>
                <w:sz w:val="20"/>
                <w:szCs w:val="20"/>
              </w:rPr>
              <w:t>front line</w:t>
            </w:r>
            <w:proofErr w:type="gramEnd"/>
            <w:r w:rsidRPr="00314E0A">
              <w:rPr>
                <w:rFonts w:ascii="Arial" w:hAnsi="Arial" w:cs="Arial"/>
                <w:sz w:val="20"/>
                <w:szCs w:val="20"/>
              </w:rPr>
              <w:t xml:space="preserve"> resources and service delivery. </w:t>
            </w:r>
          </w:p>
          <w:p w14:paraId="48660D47" w14:textId="1777EAA3" w:rsidR="00314E0A" w:rsidRPr="00314E0A" w:rsidRDefault="00314E0A" w:rsidP="001C5054">
            <w:pPr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1838E2" w14:textId="2A31840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E0A" w:rsidRPr="003613A7" w14:paraId="58537D74" w14:textId="77777777" w:rsidTr="00C23019">
        <w:trPr>
          <w:trHeight w:val="181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D1705A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ED5A027" w14:textId="77777777" w:rsidR="00314E0A" w:rsidRPr="00314E0A" w:rsidRDefault="00314E0A" w:rsidP="00BC66A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Managing resources and/or budgets</w:t>
            </w:r>
          </w:p>
          <w:p w14:paraId="41CFE185" w14:textId="6E711B32" w:rsidR="00314E0A" w:rsidRPr="00314E0A" w:rsidRDefault="00314E0A" w:rsidP="00283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0B8754" w14:textId="14F764E9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E0A" w:rsidRPr="003613A7" w14:paraId="1803770A" w14:textId="77777777" w:rsidTr="00C23019">
        <w:trPr>
          <w:trHeight w:val="181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D0EB47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F0F82C1" w14:textId="77777777" w:rsidR="00314E0A" w:rsidRPr="00314E0A" w:rsidRDefault="00314E0A" w:rsidP="00BC66A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Independent working</w:t>
            </w:r>
          </w:p>
          <w:p w14:paraId="66DED67C" w14:textId="77777777" w:rsidR="00314E0A" w:rsidRPr="00314E0A" w:rsidRDefault="00314E0A" w:rsidP="004C0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D74F22" w14:textId="490F3FE9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E0A" w:rsidRPr="003613A7" w14:paraId="30D31AED" w14:textId="77777777" w:rsidTr="00C23019">
        <w:trPr>
          <w:trHeight w:val="181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BABEBE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C7A3B94" w14:textId="77777777" w:rsidR="00314E0A" w:rsidRPr="00314E0A" w:rsidRDefault="00314E0A" w:rsidP="00BC66A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Working with demanding targets/challenges.</w:t>
            </w:r>
          </w:p>
          <w:p w14:paraId="093436EC" w14:textId="77777777" w:rsidR="00314E0A" w:rsidRPr="00314E0A" w:rsidRDefault="00314E0A" w:rsidP="00F97E4E">
            <w:pPr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2BC28B" w14:textId="7878B704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E0A" w:rsidRPr="003613A7" w14:paraId="20348B5E" w14:textId="77777777" w:rsidTr="00C23019">
        <w:trPr>
          <w:trHeight w:val="181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7A724F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ADBCF64" w14:textId="77777777" w:rsidR="00314E0A" w:rsidRPr="00314E0A" w:rsidRDefault="00314E0A" w:rsidP="00BC66A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 xml:space="preserve">A proven track record of delivering outcomes through leading, motivating, </w:t>
            </w:r>
            <w:proofErr w:type="gramStart"/>
            <w:r w:rsidRPr="00314E0A">
              <w:rPr>
                <w:rFonts w:ascii="Arial" w:hAnsi="Arial" w:cs="Arial"/>
                <w:sz w:val="20"/>
                <w:szCs w:val="20"/>
              </w:rPr>
              <w:t>managing</w:t>
            </w:r>
            <w:proofErr w:type="gramEnd"/>
            <w:r w:rsidRPr="00314E0A">
              <w:rPr>
                <w:rFonts w:ascii="Arial" w:hAnsi="Arial" w:cs="Arial"/>
                <w:sz w:val="20"/>
                <w:szCs w:val="20"/>
              </w:rPr>
              <w:t xml:space="preserve"> and empowering teams.</w:t>
            </w:r>
          </w:p>
          <w:p w14:paraId="52804219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74AD99" w14:textId="281E8924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E0A" w:rsidRPr="003613A7" w14:paraId="787E3FAB" w14:textId="77777777" w:rsidTr="00C23019">
        <w:trPr>
          <w:trHeight w:val="214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B6B932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A7EC959" w14:textId="77777777" w:rsidR="00314E0A" w:rsidRPr="00314E0A" w:rsidRDefault="00314E0A" w:rsidP="00BC66A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Substantial experience of all aspects of customer service.</w:t>
            </w:r>
          </w:p>
          <w:p w14:paraId="23EB88E2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EF1827" w14:textId="59D694C2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E0A" w:rsidRPr="003613A7" w14:paraId="52114AB7" w14:textId="77777777" w:rsidTr="00C23019">
        <w:trPr>
          <w:trHeight w:val="214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952F53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F454DA1" w14:textId="63064FDB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E0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ability to develop knowledge and experience of legislative and environmental requirements of the post, as well as risk management and business continuity planning. </w:t>
            </w:r>
            <w:r w:rsidR="00DD0CF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00875" w14:textId="24998E04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E0A" w:rsidRPr="003613A7" w14:paraId="476B857C" w14:textId="79A54E67" w:rsidTr="00FA0D65">
        <w:trPr>
          <w:trHeight w:val="281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6218E7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2295067"/>
            <w:r w:rsidRPr="004A7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F7C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14E0A" w:rsidRPr="004A7F7C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7929ABA" w14:textId="77777777" w:rsidR="00314E0A" w:rsidRPr="00314E0A" w:rsidRDefault="00314E0A" w:rsidP="004A7F7C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Be able to communicate effectively verbally, in person or over the telephone, and in writing to share and obtain information.</w:t>
            </w:r>
          </w:p>
          <w:p w14:paraId="5B2A7A58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744BEA" w14:textId="77777777" w:rsidR="00314E0A" w:rsidRPr="00314E0A" w:rsidRDefault="00314E0A" w:rsidP="00DD0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  <w:p w14:paraId="5A51C7CB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00A18FF3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511C04B0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3AECC29C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27F2A47A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229CB2F1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55BDB6C9" w14:textId="0E6AA3C5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14E0A" w:rsidRPr="003613A7" w14:paraId="066C9AB4" w14:textId="77777777" w:rsidTr="00FA0D65">
        <w:trPr>
          <w:trHeight w:val="272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3884F8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55421A4" w14:textId="77777777" w:rsidR="00314E0A" w:rsidRPr="00314E0A" w:rsidRDefault="00314E0A" w:rsidP="004A7F7C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14E0A">
              <w:rPr>
                <w:rFonts w:ascii="Arial" w:eastAsia="MS Mincho" w:hAnsi="Arial" w:cs="Arial"/>
                <w:sz w:val="20"/>
                <w:szCs w:val="20"/>
              </w:rPr>
              <w:t>Be able to provide excellent customer service by being able to delight customers and deliver high quality tailored services to meet needs and exceed expectations.</w:t>
            </w:r>
          </w:p>
          <w:p w14:paraId="7C520AF6" w14:textId="2A010B1C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7B7CB8" w14:textId="5418119F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14E0A" w:rsidRPr="003613A7" w14:paraId="42C3F6CC" w14:textId="77777777" w:rsidTr="00FA0D65">
        <w:trPr>
          <w:trHeight w:val="261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32E6FD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4D45460" w14:textId="0CB556E1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Able to ensure continuous improvement</w:t>
            </w: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B59FE6" w14:textId="72DFCB72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14E0A" w:rsidRPr="003613A7" w14:paraId="21D5112B" w14:textId="77777777" w:rsidTr="00FA0D65">
        <w:trPr>
          <w:trHeight w:val="261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D39C7F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16AE50F" w14:textId="77777777" w:rsidR="00314E0A" w:rsidRPr="00314E0A" w:rsidRDefault="00314E0A" w:rsidP="004A7F7C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 xml:space="preserve">Able to build effective teams, establish direction, influence others towards shared goals and empower, </w:t>
            </w:r>
            <w:proofErr w:type="gramStart"/>
            <w:r w:rsidRPr="00314E0A">
              <w:rPr>
                <w:rFonts w:ascii="Arial" w:hAnsi="Arial" w:cs="Arial"/>
                <w:sz w:val="20"/>
                <w:szCs w:val="20"/>
              </w:rPr>
              <w:t>inspire</w:t>
            </w:r>
            <w:proofErr w:type="gramEnd"/>
            <w:r w:rsidRPr="00314E0A">
              <w:rPr>
                <w:rFonts w:ascii="Arial" w:hAnsi="Arial" w:cs="Arial"/>
                <w:sz w:val="20"/>
                <w:szCs w:val="20"/>
              </w:rPr>
              <w:t xml:space="preserve"> and motivate individuals.</w:t>
            </w:r>
          </w:p>
          <w:p w14:paraId="582792C5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367938" w14:textId="06005E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14E0A" w:rsidRPr="003613A7" w14:paraId="2FF210C0" w14:textId="77777777" w:rsidTr="00FA0D65">
        <w:trPr>
          <w:trHeight w:val="261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EC9AE3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F130ECC" w14:textId="77777777" w:rsidR="00314E0A" w:rsidRPr="00314E0A" w:rsidRDefault="00314E0A" w:rsidP="004A7F7C">
            <w:pPr>
              <w:suppressAutoHyphens w:val="0"/>
              <w:overflowPunct/>
              <w:autoSpaceDE/>
              <w:autoSpaceDN/>
              <w:textAlignment w:val="auto"/>
              <w:rPr>
                <w:rFonts w:cs="Arial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 xml:space="preserve">Listens to others to assess requirements </w:t>
            </w:r>
            <w:proofErr w:type="gramStart"/>
            <w:r w:rsidRPr="00314E0A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314E0A">
              <w:rPr>
                <w:rFonts w:ascii="Arial" w:hAnsi="Arial" w:cs="Arial"/>
                <w:sz w:val="20"/>
                <w:szCs w:val="20"/>
              </w:rPr>
              <w:t xml:space="preserve"> respond appropriately and efficiently.</w:t>
            </w:r>
          </w:p>
          <w:p w14:paraId="45FEC0CB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370CC7" w14:textId="74796326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14E0A" w:rsidRPr="003613A7" w14:paraId="2E99A0EB" w14:textId="77777777" w:rsidTr="00FA0D65">
        <w:trPr>
          <w:trHeight w:val="28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AC8DE6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FF225DA" w14:textId="77777777" w:rsidR="00314E0A" w:rsidRPr="00314E0A" w:rsidRDefault="00314E0A" w:rsidP="004A7F7C">
            <w:pPr>
              <w:suppressAutoHyphens w:val="0"/>
              <w:overflowPunct/>
              <w:autoSpaceDE/>
              <w:autoSpaceDN/>
              <w:textAlignment w:val="auto"/>
              <w:rPr>
                <w:rFonts w:cs="Arial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Able to effectively use a PC to prepare documents, record information or input data</w:t>
            </w:r>
            <w:r w:rsidRPr="00314E0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ECC5EB6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5A41C2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14E0A" w:rsidRPr="003613A7" w14:paraId="05280758" w14:textId="77777777" w:rsidTr="00FA0D65">
        <w:trPr>
          <w:trHeight w:val="28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0EA28B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E892402" w14:textId="77777777" w:rsidR="00314E0A" w:rsidRPr="00314E0A" w:rsidRDefault="00314E0A" w:rsidP="004A7F7C">
            <w:pPr>
              <w:suppressAutoHyphens w:val="0"/>
              <w:overflowPunct/>
              <w:autoSpaceDE/>
              <w:autoSpaceDN/>
              <w:textAlignment w:val="auto"/>
              <w:rPr>
                <w:rFonts w:cs="Arial"/>
                <w:sz w:val="20"/>
                <w:szCs w:val="20"/>
              </w:rPr>
            </w:pPr>
            <w:r w:rsidRPr="00314E0A">
              <w:rPr>
                <w:rFonts w:ascii="Arial" w:eastAsia="MS Mincho" w:hAnsi="Arial" w:cs="Arial"/>
                <w:sz w:val="20"/>
                <w:szCs w:val="20"/>
              </w:rPr>
              <w:t>Able to work at a fast pace and cope well with a higher level of workload.</w:t>
            </w:r>
          </w:p>
          <w:p w14:paraId="4B7E7321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13A183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14E0A" w:rsidRPr="003613A7" w14:paraId="2A203C4C" w14:textId="77777777" w:rsidTr="00FA0D65">
        <w:trPr>
          <w:trHeight w:val="28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0E3E91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C56AA2D" w14:textId="77777777" w:rsidR="00314E0A" w:rsidRPr="00314E0A" w:rsidRDefault="00314E0A" w:rsidP="004A7F7C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Able to represent the service at Area Committees and to hold or attend relevant user group meetings.</w:t>
            </w:r>
          </w:p>
          <w:p w14:paraId="57833B8F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90B297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14E0A" w:rsidRPr="003613A7" w14:paraId="4A10EC20" w14:textId="77777777" w:rsidTr="00FA0D65">
        <w:trPr>
          <w:trHeight w:val="28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B1CCEF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C2330B7" w14:textId="77777777" w:rsidR="00314E0A" w:rsidRPr="00314E0A" w:rsidRDefault="00314E0A" w:rsidP="004A7F7C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To demonstrate a political awareness.</w:t>
            </w:r>
          </w:p>
          <w:p w14:paraId="0E0FBD3A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DB09BA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14E0A" w:rsidRPr="003613A7" w14:paraId="1CA6557F" w14:textId="77777777" w:rsidTr="00FA0D65">
        <w:trPr>
          <w:trHeight w:val="28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730D9C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9F2BFB0" w14:textId="77777777" w:rsidR="00314E0A" w:rsidRPr="00314E0A" w:rsidRDefault="00314E0A" w:rsidP="004A7F7C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Ability to manage a budget.</w:t>
            </w:r>
          </w:p>
          <w:p w14:paraId="4DDE147B" w14:textId="69652CE3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4816F" w14:textId="48589794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14E0A" w:rsidRPr="003613A7" w14:paraId="0D826A3B" w14:textId="77777777" w:rsidTr="00CE5876"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4BF11C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F7C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466D92F2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F7C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20867444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8C09875" w14:textId="77777777" w:rsidR="00314E0A" w:rsidRPr="00314E0A" w:rsidRDefault="00314E0A" w:rsidP="000E47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E0A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1272998" w14:textId="4821FE70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61A03C" w14:textId="77777777" w:rsidR="00314E0A" w:rsidRPr="00314E0A" w:rsidRDefault="00314E0A" w:rsidP="00DD0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E0A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  <w:p w14:paraId="38875FEC" w14:textId="77777777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73A4B4" w14:textId="4B05D756" w:rsidR="00314E0A" w:rsidRPr="00314E0A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E0A" w:rsidRPr="003613A7" w14:paraId="22B59DD3" w14:textId="77777777" w:rsidTr="00CE5876"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BF1371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C7476C7" w14:textId="77777777" w:rsidR="00314E0A" w:rsidRPr="004A7F7C" w:rsidRDefault="00314E0A" w:rsidP="004A7F7C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 w:rsidRPr="004A7F7C">
              <w:rPr>
                <w:rFonts w:ascii="Arial" w:eastAsia="MS Mincho" w:hAnsi="Arial" w:cs="Arial"/>
                <w:sz w:val="20"/>
                <w:szCs w:val="20"/>
              </w:rPr>
              <w:t>The ability to work outside of normal working hours, weekends and attend call outs as required to meet the needs of the service</w:t>
            </w:r>
            <w:r w:rsidRPr="004A7F7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459A866" w14:textId="77777777" w:rsidR="00314E0A" w:rsidRPr="004A7F7C" w:rsidRDefault="00314E0A" w:rsidP="000E47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9E1C6F" w14:textId="77777777" w:rsidR="00314E0A" w:rsidRPr="004A7F7C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E0A" w:rsidRPr="003613A7" w14:paraId="2E3B0942" w14:textId="77777777" w:rsidTr="00CE5876"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F6B5C9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CCF00E8" w14:textId="77777777" w:rsidR="00314E0A" w:rsidRPr="004A7F7C" w:rsidRDefault="00314E0A" w:rsidP="000E47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F7C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72A8DEF2" w14:textId="77777777" w:rsidR="00314E0A" w:rsidRPr="004A7F7C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1F84EC" w14:textId="77777777" w:rsidR="00314E0A" w:rsidRPr="004A7F7C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E0A" w:rsidRPr="003613A7" w14:paraId="5CC7A908" w14:textId="77777777" w:rsidTr="00CE5876"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275FE8" w14:textId="77777777" w:rsidR="00314E0A" w:rsidRPr="004A7F7C" w:rsidRDefault="00314E0A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6CDF346" w14:textId="77777777" w:rsidR="00314E0A" w:rsidRPr="004A7F7C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F7C">
              <w:rPr>
                <w:rFonts w:ascii="Arial" w:hAnsi="Arial" w:cs="Arial"/>
                <w:color w:val="000000"/>
                <w:sz w:val="20"/>
                <w:szCs w:val="20"/>
              </w:rPr>
              <w:t>Ability to comply with the Councils values of:</w:t>
            </w:r>
          </w:p>
          <w:p w14:paraId="1056F44D" w14:textId="77777777" w:rsidR="00314E0A" w:rsidRPr="004A7F7C" w:rsidRDefault="00314E0A" w:rsidP="006F0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F7C">
              <w:rPr>
                <w:rFonts w:ascii="Arial" w:hAnsi="Arial" w:cs="Arial"/>
                <w:color w:val="000000"/>
                <w:sz w:val="20"/>
                <w:szCs w:val="20"/>
              </w:rPr>
              <w:t>We innovate</w:t>
            </w:r>
          </w:p>
          <w:p w14:paraId="3B37EF75" w14:textId="77777777" w:rsidR="00314E0A" w:rsidRPr="004A7F7C" w:rsidRDefault="00314E0A" w:rsidP="006F0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F7C">
              <w:rPr>
                <w:rFonts w:ascii="Arial" w:hAnsi="Arial" w:cs="Arial"/>
                <w:color w:val="000000"/>
                <w:sz w:val="20"/>
                <w:szCs w:val="20"/>
              </w:rPr>
              <w:t>We enable</w:t>
            </w:r>
          </w:p>
          <w:p w14:paraId="13972C36" w14:textId="140197A7" w:rsidR="00314E0A" w:rsidRPr="004A7F7C" w:rsidRDefault="00314E0A" w:rsidP="006F0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F7C">
              <w:rPr>
                <w:rFonts w:ascii="Arial" w:hAnsi="Arial" w:cs="Arial"/>
                <w:color w:val="000000"/>
                <w:sz w:val="20"/>
                <w:szCs w:val="20"/>
              </w:rPr>
              <w:t xml:space="preserve">We respect. </w:t>
            </w:r>
          </w:p>
        </w:tc>
        <w:tc>
          <w:tcPr>
            <w:tcW w:w="33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7E0CC" w14:textId="72AC7736" w:rsidR="00314E0A" w:rsidRPr="004A7F7C" w:rsidRDefault="00314E0A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14:paraId="3F9E3320" w14:textId="781DF8FB" w:rsidR="004E17BB" w:rsidRPr="00511D45" w:rsidRDefault="004E17BB" w:rsidP="007B252B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12"/>
          <w:szCs w:val="12"/>
        </w:rPr>
      </w:pPr>
    </w:p>
    <w:sectPr w:rsidR="004E17BB" w:rsidRPr="00511D45" w:rsidSect="00AB6754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29F1" w14:textId="77777777" w:rsidR="00DB2B88" w:rsidRDefault="00DB2B88" w:rsidP="0065173B">
      <w:r>
        <w:separator/>
      </w:r>
    </w:p>
  </w:endnote>
  <w:endnote w:type="continuationSeparator" w:id="0">
    <w:p w14:paraId="0EE83C89" w14:textId="77777777" w:rsidR="00DB2B88" w:rsidRDefault="00DB2B88" w:rsidP="0065173B">
      <w:r>
        <w:continuationSeparator/>
      </w:r>
    </w:p>
  </w:endnote>
  <w:endnote w:type="continuationNotice" w:id="1">
    <w:p w14:paraId="4FA8036A" w14:textId="77777777" w:rsidR="00DB2B88" w:rsidRDefault="00DB2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1EF8" w14:textId="77777777" w:rsidR="00DB2B88" w:rsidRDefault="00DB2B88" w:rsidP="0065173B">
      <w:r>
        <w:separator/>
      </w:r>
    </w:p>
  </w:footnote>
  <w:footnote w:type="continuationSeparator" w:id="0">
    <w:p w14:paraId="79951BED" w14:textId="77777777" w:rsidR="00DB2B88" w:rsidRDefault="00DB2B88" w:rsidP="0065173B">
      <w:r>
        <w:continuationSeparator/>
      </w:r>
    </w:p>
  </w:footnote>
  <w:footnote w:type="continuationNotice" w:id="1">
    <w:p w14:paraId="5F18054E" w14:textId="77777777" w:rsidR="00DB2B88" w:rsidRDefault="00DB2B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B305A4" w:rsidRDefault="00B305A4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6C60"/>
    <w:multiLevelType w:val="hybridMultilevel"/>
    <w:tmpl w:val="F54C2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157D"/>
    <w:multiLevelType w:val="hybridMultilevel"/>
    <w:tmpl w:val="181C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F262C"/>
    <w:multiLevelType w:val="hybridMultilevel"/>
    <w:tmpl w:val="2FAE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A38C2"/>
    <w:multiLevelType w:val="hybridMultilevel"/>
    <w:tmpl w:val="AC64FE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707216538">
    <w:abstractNumId w:val="3"/>
  </w:num>
  <w:num w:numId="2" w16cid:durableId="523715469">
    <w:abstractNumId w:val="1"/>
  </w:num>
  <w:num w:numId="3" w16cid:durableId="244342712">
    <w:abstractNumId w:val="2"/>
  </w:num>
  <w:num w:numId="4" w16cid:durableId="1202207484">
    <w:abstractNumId w:val="4"/>
  </w:num>
  <w:num w:numId="5" w16cid:durableId="211878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162"/>
    <w:rsid w:val="0002648F"/>
    <w:rsid w:val="00064CC2"/>
    <w:rsid w:val="000726A7"/>
    <w:rsid w:val="000929B8"/>
    <w:rsid w:val="000A08D4"/>
    <w:rsid w:val="000E47E2"/>
    <w:rsid w:val="00115BCA"/>
    <w:rsid w:val="001224E3"/>
    <w:rsid w:val="001352DE"/>
    <w:rsid w:val="001533F8"/>
    <w:rsid w:val="001560CB"/>
    <w:rsid w:val="001C5054"/>
    <w:rsid w:val="001C5961"/>
    <w:rsid w:val="001F1FF1"/>
    <w:rsid w:val="001F78E1"/>
    <w:rsid w:val="00210C99"/>
    <w:rsid w:val="00214D70"/>
    <w:rsid w:val="00281EB2"/>
    <w:rsid w:val="0028307E"/>
    <w:rsid w:val="00283DA9"/>
    <w:rsid w:val="002A48FE"/>
    <w:rsid w:val="002B352F"/>
    <w:rsid w:val="002C0BA8"/>
    <w:rsid w:val="002C1C99"/>
    <w:rsid w:val="002E41AC"/>
    <w:rsid w:val="003123CB"/>
    <w:rsid w:val="00314E0A"/>
    <w:rsid w:val="00316D08"/>
    <w:rsid w:val="0033379F"/>
    <w:rsid w:val="003613A7"/>
    <w:rsid w:val="003716D4"/>
    <w:rsid w:val="00393E23"/>
    <w:rsid w:val="003E3AC6"/>
    <w:rsid w:val="00407726"/>
    <w:rsid w:val="00421981"/>
    <w:rsid w:val="004300EF"/>
    <w:rsid w:val="00436424"/>
    <w:rsid w:val="0044225A"/>
    <w:rsid w:val="004463A6"/>
    <w:rsid w:val="0046569D"/>
    <w:rsid w:val="004A7F7C"/>
    <w:rsid w:val="004B7609"/>
    <w:rsid w:val="004C02AB"/>
    <w:rsid w:val="004E17BB"/>
    <w:rsid w:val="004E63D3"/>
    <w:rsid w:val="004F2555"/>
    <w:rsid w:val="00505CB1"/>
    <w:rsid w:val="00511D45"/>
    <w:rsid w:val="00523051"/>
    <w:rsid w:val="00532716"/>
    <w:rsid w:val="00555B02"/>
    <w:rsid w:val="005562E1"/>
    <w:rsid w:val="005815BE"/>
    <w:rsid w:val="005933C2"/>
    <w:rsid w:val="0064713F"/>
    <w:rsid w:val="0065173B"/>
    <w:rsid w:val="00673F27"/>
    <w:rsid w:val="006873C6"/>
    <w:rsid w:val="006F0B23"/>
    <w:rsid w:val="00701B90"/>
    <w:rsid w:val="00732412"/>
    <w:rsid w:val="00767ADA"/>
    <w:rsid w:val="007A232D"/>
    <w:rsid w:val="007B252B"/>
    <w:rsid w:val="007E35B6"/>
    <w:rsid w:val="00823448"/>
    <w:rsid w:val="008B4D55"/>
    <w:rsid w:val="008F0E31"/>
    <w:rsid w:val="008F4980"/>
    <w:rsid w:val="0094206E"/>
    <w:rsid w:val="0095174C"/>
    <w:rsid w:val="00956CE2"/>
    <w:rsid w:val="00956D75"/>
    <w:rsid w:val="00957BAE"/>
    <w:rsid w:val="009959D4"/>
    <w:rsid w:val="009A16EF"/>
    <w:rsid w:val="00A1684E"/>
    <w:rsid w:val="00A40155"/>
    <w:rsid w:val="00A81E1A"/>
    <w:rsid w:val="00A836D6"/>
    <w:rsid w:val="00A9766D"/>
    <w:rsid w:val="00AB6754"/>
    <w:rsid w:val="00B305A4"/>
    <w:rsid w:val="00B546B1"/>
    <w:rsid w:val="00B80596"/>
    <w:rsid w:val="00B81469"/>
    <w:rsid w:val="00B94404"/>
    <w:rsid w:val="00BA0A76"/>
    <w:rsid w:val="00BC3322"/>
    <w:rsid w:val="00BC66A0"/>
    <w:rsid w:val="00BD2151"/>
    <w:rsid w:val="00BD7E82"/>
    <w:rsid w:val="00BF7840"/>
    <w:rsid w:val="00C0099D"/>
    <w:rsid w:val="00C22177"/>
    <w:rsid w:val="00C5275E"/>
    <w:rsid w:val="00C6017A"/>
    <w:rsid w:val="00C648EC"/>
    <w:rsid w:val="00CE3087"/>
    <w:rsid w:val="00D21B78"/>
    <w:rsid w:val="00D27680"/>
    <w:rsid w:val="00D371D3"/>
    <w:rsid w:val="00D6093F"/>
    <w:rsid w:val="00D6736E"/>
    <w:rsid w:val="00D8670D"/>
    <w:rsid w:val="00DA209F"/>
    <w:rsid w:val="00DB2B88"/>
    <w:rsid w:val="00DD0CFB"/>
    <w:rsid w:val="00DE1A93"/>
    <w:rsid w:val="00DF22F5"/>
    <w:rsid w:val="00E31AEF"/>
    <w:rsid w:val="00E83C09"/>
    <w:rsid w:val="00E85B69"/>
    <w:rsid w:val="00EC6157"/>
    <w:rsid w:val="00F02954"/>
    <w:rsid w:val="00F1531C"/>
    <w:rsid w:val="00F24BE2"/>
    <w:rsid w:val="00F450AE"/>
    <w:rsid w:val="00F8434A"/>
    <w:rsid w:val="00F9651C"/>
    <w:rsid w:val="00F97E4E"/>
    <w:rsid w:val="00FB0826"/>
    <w:rsid w:val="00FB499A"/>
    <w:rsid w:val="00FE12B8"/>
    <w:rsid w:val="0E874F84"/>
    <w:rsid w:val="131D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79860FC4-E703-426B-92B3-8B20B1C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SharedWithUsers xmlns="90b2ce22-5f08-499d-8a51-a55788aa8ef6">
      <UserInfo>
        <DisplayName>Helen Stubbs</DisplayName>
        <AccountId>791</AccountId>
        <AccountType/>
      </UserInfo>
      <UserInfo>
        <DisplayName>Helen Hunter</DisplayName>
        <AccountId>19</AccountId>
        <AccountType/>
      </UserInfo>
      <UserInfo>
        <DisplayName>Gillian Hunter</DisplayName>
        <AccountId>3539</AccountId>
        <AccountType/>
      </UserInfo>
      <UserInfo>
        <DisplayName>Lyn Barnes</DisplayName>
        <AccountId>955</AccountId>
        <AccountType/>
      </UserInfo>
      <UserInfo>
        <DisplayName>Sherrie Knowles</DisplayName>
        <AccountId>4409</AccountId>
        <AccountType/>
      </UserInfo>
      <UserInfo>
        <DisplayName>Elaine Cowan</DisplayName>
        <AccountId>3823</AccountId>
        <AccountType/>
      </UserInfo>
      <UserInfo>
        <DisplayName>Graeme Atkinson</DisplayName>
        <AccountId>779</AccountId>
        <AccountType/>
      </UserInfo>
      <UserInfo>
        <DisplayName>Brian Harrison</DisplayName>
        <AccountId>693</AccountId>
        <AccountType/>
      </UserInfo>
      <UserInfo>
        <DisplayName>Monica Pattar</DisplayName>
        <AccountId>612</AccountId>
        <AccountType/>
      </UserInfo>
      <UserInfo>
        <DisplayName>Melissa Wilkinson</DisplayName>
        <AccountId>4210</AccountId>
        <AccountType/>
      </UserInfo>
      <UserInfo>
        <DisplayName>Nikki Sims</DisplayName>
        <AccountId>4220</AccountId>
        <AccountType/>
      </UserInfo>
      <UserInfo>
        <DisplayName>Jessica Cowan</DisplayName>
        <AccountId>4216</AccountId>
        <AccountType/>
      </UserInfo>
    </SharedWithUsers>
    <lcf76f155ced4ddcb4097134ff3c332f xmlns="9f8b2057-8571-43f1-89d8-04dcb45c61d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2888C-02A2-4362-8BF7-8B555E033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90b2ce22-5f08-499d-8a51-a55788aa8ef6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8c8bf4-438c-4132-b182-987a6cb03fc0"/>
    <ds:schemaRef ds:uri="14c3b6c3-2f5b-4452-9b26-11fb37d81d9d"/>
    <ds:schemaRef ds:uri="38265477-f6e8-4d91-9e1a-5480dcf2d771"/>
    <ds:schemaRef ds:uri="0862de27-bf98-42c3-9af4-81ee2ef416fb"/>
    <ds:schemaRef ds:uri="dfc4486f-a8a8-436c-bf29-c7ab15774f74"/>
    <ds:schemaRef ds:uri="90b2ce22-5f08-499d-8a51-a55788aa8ef6"/>
    <ds:schemaRef ds:uri="9f8b2057-8571-43f1-89d8-04dcb45c61d7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subject/>
  <dc:creator>dwebb</dc:creator>
  <cp:keywords/>
  <cp:lastModifiedBy>Judy Blackett</cp:lastModifiedBy>
  <cp:revision>27</cp:revision>
  <dcterms:created xsi:type="dcterms:W3CDTF">2022-06-13T13:03:00Z</dcterms:created>
  <dcterms:modified xsi:type="dcterms:W3CDTF">2023-03-17T15:07:00Z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0x0101007421C2055F1AFF4C89B2688F8807D7DE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  <property fmtid="{D5CDD505-2E9C-101B-9397-08002B2CF9AE}" pid="10" name="MediaServiceImageTags">
    <vt:lpwstr/>
  </property>
</Properties>
</file>